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EE413E" w14:textId="42DFE190" w:rsidR="00DA1D02" w:rsidRDefault="00441B32" w:rsidP="00441B32">
      <w:pPr>
        <w:pStyle w:val="Title"/>
        <w:jc w:val="center"/>
      </w:pPr>
      <w:bookmarkStart w:id="0" w:name="_GoBack"/>
      <w:bookmarkEnd w:id="0"/>
      <w:r>
        <w:t>Community Modelling: Water Quality in North London</w:t>
      </w:r>
    </w:p>
    <w:p w14:paraId="4B49AD48" w14:textId="77777777" w:rsidR="00441B32" w:rsidRDefault="00441B32" w:rsidP="00441B32"/>
    <w:p w14:paraId="6489811D" w14:textId="77777777" w:rsidR="00441B32" w:rsidRDefault="00441B32" w:rsidP="00441B32"/>
    <w:p w14:paraId="0A2B2D33" w14:textId="77777777" w:rsidR="00441B32" w:rsidRDefault="00441B32" w:rsidP="00441B32">
      <w:r>
        <w:rPr>
          <w:noProof/>
          <w:lang w:eastAsia="en-GB"/>
        </w:rPr>
        <w:drawing>
          <wp:inline distT="0" distB="0" distL="0" distR="0" wp14:anchorId="6A171057" wp14:editId="11DABAF1">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3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br w:type="page"/>
      </w:r>
    </w:p>
    <w:sdt>
      <w:sdtPr>
        <w:rPr>
          <w:rFonts w:asciiTheme="minorHAnsi" w:eastAsiaTheme="minorHAnsi" w:hAnsiTheme="minorHAnsi" w:cstheme="minorBidi"/>
          <w:color w:val="auto"/>
          <w:sz w:val="22"/>
          <w:szCs w:val="22"/>
          <w:lang w:val="en-GB"/>
        </w:rPr>
        <w:id w:val="-1116211578"/>
        <w:docPartObj>
          <w:docPartGallery w:val="Table of Contents"/>
          <w:docPartUnique/>
        </w:docPartObj>
      </w:sdtPr>
      <w:sdtEndPr>
        <w:rPr>
          <w:b/>
          <w:bCs/>
          <w:noProof/>
        </w:rPr>
      </w:sdtEndPr>
      <w:sdtContent>
        <w:p w14:paraId="3571B413" w14:textId="77777777" w:rsidR="00441B32" w:rsidRDefault="00441B32">
          <w:pPr>
            <w:pStyle w:val="TOCHeading"/>
          </w:pPr>
          <w:r>
            <w:t>Contents</w:t>
          </w:r>
        </w:p>
        <w:p w14:paraId="66161FBB" w14:textId="77777777" w:rsidR="002752DE" w:rsidRDefault="00441B3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517707818" w:history="1">
            <w:r w:rsidR="002752DE" w:rsidRPr="00BD2B33">
              <w:rPr>
                <w:rStyle w:val="Hyperlink"/>
                <w:noProof/>
              </w:rPr>
              <w:t>Abstract</w:t>
            </w:r>
            <w:r w:rsidR="002752DE">
              <w:rPr>
                <w:noProof/>
                <w:webHidden/>
              </w:rPr>
              <w:tab/>
            </w:r>
            <w:r w:rsidR="002752DE">
              <w:rPr>
                <w:noProof/>
                <w:webHidden/>
              </w:rPr>
              <w:fldChar w:fldCharType="begin"/>
            </w:r>
            <w:r w:rsidR="002752DE">
              <w:rPr>
                <w:noProof/>
                <w:webHidden/>
              </w:rPr>
              <w:instrText xml:space="preserve"> PAGEREF _Toc517707818 \h </w:instrText>
            </w:r>
            <w:r w:rsidR="002752DE">
              <w:rPr>
                <w:noProof/>
                <w:webHidden/>
              </w:rPr>
            </w:r>
            <w:r w:rsidR="002752DE">
              <w:rPr>
                <w:noProof/>
                <w:webHidden/>
              </w:rPr>
              <w:fldChar w:fldCharType="separate"/>
            </w:r>
            <w:r w:rsidR="002752DE">
              <w:rPr>
                <w:noProof/>
                <w:webHidden/>
              </w:rPr>
              <w:t>3</w:t>
            </w:r>
            <w:r w:rsidR="002752DE">
              <w:rPr>
                <w:noProof/>
                <w:webHidden/>
              </w:rPr>
              <w:fldChar w:fldCharType="end"/>
            </w:r>
          </w:hyperlink>
        </w:p>
        <w:p w14:paraId="79CC392C" w14:textId="77777777" w:rsidR="002752DE" w:rsidRDefault="00933A85">
          <w:pPr>
            <w:pStyle w:val="TOC1"/>
            <w:tabs>
              <w:tab w:val="left" w:pos="440"/>
              <w:tab w:val="right" w:leader="dot" w:pos="9016"/>
            </w:tabs>
            <w:rPr>
              <w:rFonts w:eastAsiaTheme="minorEastAsia"/>
              <w:noProof/>
              <w:lang w:eastAsia="en-GB"/>
            </w:rPr>
          </w:pPr>
          <w:hyperlink w:anchor="_Toc517707819" w:history="1">
            <w:r w:rsidR="002752DE" w:rsidRPr="00BD2B33">
              <w:rPr>
                <w:rStyle w:val="Hyperlink"/>
                <w:noProof/>
              </w:rPr>
              <w:t>1.</w:t>
            </w:r>
            <w:r w:rsidR="002752DE">
              <w:rPr>
                <w:rFonts w:eastAsiaTheme="minorEastAsia"/>
                <w:noProof/>
                <w:lang w:eastAsia="en-GB"/>
              </w:rPr>
              <w:tab/>
            </w:r>
            <w:r w:rsidR="002752DE" w:rsidRPr="00BD2B33">
              <w:rPr>
                <w:rStyle w:val="Hyperlink"/>
                <w:noProof/>
              </w:rPr>
              <w:t>Introduction</w:t>
            </w:r>
            <w:r w:rsidR="002752DE">
              <w:rPr>
                <w:noProof/>
                <w:webHidden/>
              </w:rPr>
              <w:tab/>
            </w:r>
            <w:r w:rsidR="002752DE">
              <w:rPr>
                <w:noProof/>
                <w:webHidden/>
              </w:rPr>
              <w:fldChar w:fldCharType="begin"/>
            </w:r>
            <w:r w:rsidR="002752DE">
              <w:rPr>
                <w:noProof/>
                <w:webHidden/>
              </w:rPr>
              <w:instrText xml:space="preserve"> PAGEREF _Toc517707819 \h </w:instrText>
            </w:r>
            <w:r w:rsidR="002752DE">
              <w:rPr>
                <w:noProof/>
                <w:webHidden/>
              </w:rPr>
            </w:r>
            <w:r w:rsidR="002752DE">
              <w:rPr>
                <w:noProof/>
                <w:webHidden/>
              </w:rPr>
              <w:fldChar w:fldCharType="separate"/>
            </w:r>
            <w:r w:rsidR="002752DE">
              <w:rPr>
                <w:noProof/>
                <w:webHidden/>
              </w:rPr>
              <w:t>4</w:t>
            </w:r>
            <w:r w:rsidR="002752DE">
              <w:rPr>
                <w:noProof/>
                <w:webHidden/>
              </w:rPr>
              <w:fldChar w:fldCharType="end"/>
            </w:r>
          </w:hyperlink>
        </w:p>
        <w:p w14:paraId="2ABA50EF" w14:textId="77777777" w:rsidR="002752DE" w:rsidRDefault="00933A85">
          <w:pPr>
            <w:pStyle w:val="TOC1"/>
            <w:tabs>
              <w:tab w:val="left" w:pos="440"/>
              <w:tab w:val="right" w:leader="dot" w:pos="9016"/>
            </w:tabs>
            <w:rPr>
              <w:rFonts w:eastAsiaTheme="minorEastAsia"/>
              <w:noProof/>
              <w:lang w:eastAsia="en-GB"/>
            </w:rPr>
          </w:pPr>
          <w:hyperlink w:anchor="_Toc517707820" w:history="1">
            <w:r w:rsidR="002752DE" w:rsidRPr="00BD2B33">
              <w:rPr>
                <w:rStyle w:val="Hyperlink"/>
                <w:noProof/>
              </w:rPr>
              <w:t>2.</w:t>
            </w:r>
            <w:r w:rsidR="002752DE">
              <w:rPr>
                <w:rFonts w:eastAsiaTheme="minorEastAsia"/>
                <w:noProof/>
                <w:lang w:eastAsia="en-GB"/>
              </w:rPr>
              <w:tab/>
            </w:r>
            <w:r w:rsidR="002752DE" w:rsidRPr="00BD2B33">
              <w:rPr>
                <w:rStyle w:val="Hyperlink"/>
                <w:noProof/>
              </w:rPr>
              <w:t>Community Modelling</w:t>
            </w:r>
            <w:r w:rsidR="002752DE">
              <w:rPr>
                <w:noProof/>
                <w:webHidden/>
              </w:rPr>
              <w:tab/>
            </w:r>
            <w:r w:rsidR="002752DE">
              <w:rPr>
                <w:noProof/>
                <w:webHidden/>
              </w:rPr>
              <w:fldChar w:fldCharType="begin"/>
            </w:r>
            <w:r w:rsidR="002752DE">
              <w:rPr>
                <w:noProof/>
                <w:webHidden/>
              </w:rPr>
              <w:instrText xml:space="preserve"> PAGEREF _Toc517707820 \h </w:instrText>
            </w:r>
            <w:r w:rsidR="002752DE">
              <w:rPr>
                <w:noProof/>
                <w:webHidden/>
              </w:rPr>
            </w:r>
            <w:r w:rsidR="002752DE">
              <w:rPr>
                <w:noProof/>
                <w:webHidden/>
              </w:rPr>
              <w:fldChar w:fldCharType="separate"/>
            </w:r>
            <w:r w:rsidR="002752DE">
              <w:rPr>
                <w:noProof/>
                <w:webHidden/>
              </w:rPr>
              <w:t>8</w:t>
            </w:r>
            <w:r w:rsidR="002752DE">
              <w:rPr>
                <w:noProof/>
                <w:webHidden/>
              </w:rPr>
              <w:fldChar w:fldCharType="end"/>
            </w:r>
          </w:hyperlink>
        </w:p>
        <w:p w14:paraId="48BFB5B8" w14:textId="77777777" w:rsidR="002752DE" w:rsidRDefault="00933A85">
          <w:pPr>
            <w:pStyle w:val="TOC1"/>
            <w:tabs>
              <w:tab w:val="left" w:pos="440"/>
              <w:tab w:val="right" w:leader="dot" w:pos="9016"/>
            </w:tabs>
            <w:rPr>
              <w:rFonts w:eastAsiaTheme="minorEastAsia"/>
              <w:noProof/>
              <w:lang w:eastAsia="en-GB"/>
            </w:rPr>
          </w:pPr>
          <w:hyperlink w:anchor="_Toc517707821" w:history="1">
            <w:r w:rsidR="002752DE" w:rsidRPr="00BD2B33">
              <w:rPr>
                <w:rStyle w:val="Hyperlink"/>
                <w:noProof/>
              </w:rPr>
              <w:t>3.</w:t>
            </w:r>
            <w:r w:rsidR="002752DE">
              <w:rPr>
                <w:rFonts w:eastAsiaTheme="minorEastAsia"/>
                <w:noProof/>
                <w:lang w:eastAsia="en-GB"/>
              </w:rPr>
              <w:tab/>
            </w:r>
            <w:r w:rsidR="002752DE" w:rsidRPr="00BD2B33">
              <w:rPr>
                <w:rStyle w:val="Hyperlink"/>
                <w:noProof/>
              </w:rPr>
              <w:t>INCA</w:t>
            </w:r>
            <w:r w:rsidR="002752DE">
              <w:rPr>
                <w:noProof/>
                <w:webHidden/>
              </w:rPr>
              <w:tab/>
            </w:r>
            <w:r w:rsidR="002752DE">
              <w:rPr>
                <w:noProof/>
                <w:webHidden/>
              </w:rPr>
              <w:fldChar w:fldCharType="begin"/>
            </w:r>
            <w:r w:rsidR="002752DE">
              <w:rPr>
                <w:noProof/>
                <w:webHidden/>
              </w:rPr>
              <w:instrText xml:space="preserve"> PAGEREF _Toc517707821 \h </w:instrText>
            </w:r>
            <w:r w:rsidR="002752DE">
              <w:rPr>
                <w:noProof/>
                <w:webHidden/>
              </w:rPr>
            </w:r>
            <w:r w:rsidR="002752DE">
              <w:rPr>
                <w:noProof/>
                <w:webHidden/>
              </w:rPr>
              <w:fldChar w:fldCharType="separate"/>
            </w:r>
            <w:r w:rsidR="002752DE">
              <w:rPr>
                <w:noProof/>
                <w:webHidden/>
              </w:rPr>
              <w:t>9</w:t>
            </w:r>
            <w:r w:rsidR="002752DE">
              <w:rPr>
                <w:noProof/>
                <w:webHidden/>
              </w:rPr>
              <w:fldChar w:fldCharType="end"/>
            </w:r>
          </w:hyperlink>
        </w:p>
        <w:p w14:paraId="7DAB25F6" w14:textId="77777777" w:rsidR="002752DE" w:rsidRDefault="00933A85">
          <w:pPr>
            <w:pStyle w:val="TOC1"/>
            <w:tabs>
              <w:tab w:val="left" w:pos="440"/>
              <w:tab w:val="right" w:leader="dot" w:pos="9016"/>
            </w:tabs>
            <w:rPr>
              <w:rFonts w:eastAsiaTheme="minorEastAsia"/>
              <w:noProof/>
              <w:lang w:eastAsia="en-GB"/>
            </w:rPr>
          </w:pPr>
          <w:hyperlink w:anchor="_Toc517707822" w:history="1">
            <w:r w:rsidR="002752DE" w:rsidRPr="00BD2B33">
              <w:rPr>
                <w:rStyle w:val="Hyperlink"/>
                <w:noProof/>
              </w:rPr>
              <w:t>4.</w:t>
            </w:r>
            <w:r w:rsidR="002752DE">
              <w:rPr>
                <w:rFonts w:eastAsiaTheme="minorEastAsia"/>
                <w:noProof/>
                <w:lang w:eastAsia="en-GB"/>
              </w:rPr>
              <w:tab/>
            </w:r>
            <w:r w:rsidR="002752DE" w:rsidRPr="00BD2B33">
              <w:rPr>
                <w:rStyle w:val="Hyperlink"/>
                <w:noProof/>
              </w:rPr>
              <w:t>Scenarios</w:t>
            </w:r>
            <w:r w:rsidR="002752DE">
              <w:rPr>
                <w:noProof/>
                <w:webHidden/>
              </w:rPr>
              <w:tab/>
            </w:r>
            <w:r w:rsidR="002752DE">
              <w:rPr>
                <w:noProof/>
                <w:webHidden/>
              </w:rPr>
              <w:fldChar w:fldCharType="begin"/>
            </w:r>
            <w:r w:rsidR="002752DE">
              <w:rPr>
                <w:noProof/>
                <w:webHidden/>
              </w:rPr>
              <w:instrText xml:space="preserve"> PAGEREF _Toc517707822 \h </w:instrText>
            </w:r>
            <w:r w:rsidR="002752DE">
              <w:rPr>
                <w:noProof/>
                <w:webHidden/>
              </w:rPr>
            </w:r>
            <w:r w:rsidR="002752DE">
              <w:rPr>
                <w:noProof/>
                <w:webHidden/>
              </w:rPr>
              <w:fldChar w:fldCharType="separate"/>
            </w:r>
            <w:r w:rsidR="002752DE">
              <w:rPr>
                <w:noProof/>
                <w:webHidden/>
              </w:rPr>
              <w:t>10</w:t>
            </w:r>
            <w:r w:rsidR="002752DE">
              <w:rPr>
                <w:noProof/>
                <w:webHidden/>
              </w:rPr>
              <w:fldChar w:fldCharType="end"/>
            </w:r>
          </w:hyperlink>
        </w:p>
        <w:p w14:paraId="29DC5191" w14:textId="77777777" w:rsidR="002752DE" w:rsidRDefault="00933A85">
          <w:pPr>
            <w:pStyle w:val="TOC1"/>
            <w:tabs>
              <w:tab w:val="left" w:pos="440"/>
              <w:tab w:val="right" w:leader="dot" w:pos="9016"/>
            </w:tabs>
            <w:rPr>
              <w:rFonts w:eastAsiaTheme="minorEastAsia"/>
              <w:noProof/>
              <w:lang w:eastAsia="en-GB"/>
            </w:rPr>
          </w:pPr>
          <w:hyperlink w:anchor="_Toc517707823" w:history="1">
            <w:r w:rsidR="002752DE" w:rsidRPr="00BD2B33">
              <w:rPr>
                <w:rStyle w:val="Hyperlink"/>
                <w:noProof/>
              </w:rPr>
              <w:t>5.</w:t>
            </w:r>
            <w:r w:rsidR="002752DE">
              <w:rPr>
                <w:rFonts w:eastAsiaTheme="minorEastAsia"/>
                <w:noProof/>
                <w:lang w:eastAsia="en-GB"/>
              </w:rPr>
              <w:tab/>
            </w:r>
            <w:r w:rsidR="002752DE" w:rsidRPr="00BD2B33">
              <w:rPr>
                <w:rStyle w:val="Hyperlink"/>
                <w:noProof/>
              </w:rPr>
              <w:t>Results</w:t>
            </w:r>
            <w:r w:rsidR="002752DE">
              <w:rPr>
                <w:noProof/>
                <w:webHidden/>
              </w:rPr>
              <w:tab/>
            </w:r>
            <w:r w:rsidR="002752DE">
              <w:rPr>
                <w:noProof/>
                <w:webHidden/>
              </w:rPr>
              <w:fldChar w:fldCharType="begin"/>
            </w:r>
            <w:r w:rsidR="002752DE">
              <w:rPr>
                <w:noProof/>
                <w:webHidden/>
              </w:rPr>
              <w:instrText xml:space="preserve"> PAGEREF _Toc517707823 \h </w:instrText>
            </w:r>
            <w:r w:rsidR="002752DE">
              <w:rPr>
                <w:noProof/>
                <w:webHidden/>
              </w:rPr>
            </w:r>
            <w:r w:rsidR="002752DE">
              <w:rPr>
                <w:noProof/>
                <w:webHidden/>
              </w:rPr>
              <w:fldChar w:fldCharType="separate"/>
            </w:r>
            <w:r w:rsidR="002752DE">
              <w:rPr>
                <w:noProof/>
                <w:webHidden/>
              </w:rPr>
              <w:t>12</w:t>
            </w:r>
            <w:r w:rsidR="002752DE">
              <w:rPr>
                <w:noProof/>
                <w:webHidden/>
              </w:rPr>
              <w:fldChar w:fldCharType="end"/>
            </w:r>
          </w:hyperlink>
        </w:p>
        <w:p w14:paraId="0432039E" w14:textId="77777777" w:rsidR="002752DE" w:rsidRDefault="00933A85">
          <w:pPr>
            <w:pStyle w:val="TOC1"/>
            <w:tabs>
              <w:tab w:val="left" w:pos="440"/>
              <w:tab w:val="right" w:leader="dot" w:pos="9016"/>
            </w:tabs>
            <w:rPr>
              <w:rFonts w:eastAsiaTheme="minorEastAsia"/>
              <w:noProof/>
              <w:lang w:eastAsia="en-GB"/>
            </w:rPr>
          </w:pPr>
          <w:hyperlink w:anchor="_Toc517707824" w:history="1">
            <w:r w:rsidR="002752DE" w:rsidRPr="00BD2B33">
              <w:rPr>
                <w:rStyle w:val="Hyperlink"/>
                <w:noProof/>
              </w:rPr>
              <w:t>6.</w:t>
            </w:r>
            <w:r w:rsidR="002752DE">
              <w:rPr>
                <w:rFonts w:eastAsiaTheme="minorEastAsia"/>
                <w:noProof/>
                <w:lang w:eastAsia="en-GB"/>
              </w:rPr>
              <w:tab/>
            </w:r>
            <w:r w:rsidR="002752DE" w:rsidRPr="00BD2B33">
              <w:rPr>
                <w:rStyle w:val="Hyperlink"/>
                <w:noProof/>
              </w:rPr>
              <w:t>Conclusions</w:t>
            </w:r>
            <w:r w:rsidR="002752DE">
              <w:rPr>
                <w:noProof/>
                <w:webHidden/>
              </w:rPr>
              <w:tab/>
            </w:r>
            <w:r w:rsidR="002752DE">
              <w:rPr>
                <w:noProof/>
                <w:webHidden/>
              </w:rPr>
              <w:fldChar w:fldCharType="begin"/>
            </w:r>
            <w:r w:rsidR="002752DE">
              <w:rPr>
                <w:noProof/>
                <w:webHidden/>
              </w:rPr>
              <w:instrText xml:space="preserve"> PAGEREF _Toc517707824 \h </w:instrText>
            </w:r>
            <w:r w:rsidR="002752DE">
              <w:rPr>
                <w:noProof/>
                <w:webHidden/>
              </w:rPr>
            </w:r>
            <w:r w:rsidR="002752DE">
              <w:rPr>
                <w:noProof/>
                <w:webHidden/>
              </w:rPr>
              <w:fldChar w:fldCharType="separate"/>
            </w:r>
            <w:r w:rsidR="002752DE">
              <w:rPr>
                <w:noProof/>
                <w:webHidden/>
              </w:rPr>
              <w:t>14</w:t>
            </w:r>
            <w:r w:rsidR="002752DE">
              <w:rPr>
                <w:noProof/>
                <w:webHidden/>
              </w:rPr>
              <w:fldChar w:fldCharType="end"/>
            </w:r>
          </w:hyperlink>
        </w:p>
        <w:p w14:paraId="0DC17302" w14:textId="77777777" w:rsidR="002752DE" w:rsidRDefault="00933A85">
          <w:pPr>
            <w:pStyle w:val="TOC1"/>
            <w:tabs>
              <w:tab w:val="left" w:pos="440"/>
              <w:tab w:val="right" w:leader="dot" w:pos="9016"/>
            </w:tabs>
            <w:rPr>
              <w:rFonts w:eastAsiaTheme="minorEastAsia"/>
              <w:noProof/>
              <w:lang w:eastAsia="en-GB"/>
            </w:rPr>
          </w:pPr>
          <w:hyperlink w:anchor="_Toc517707825" w:history="1">
            <w:r w:rsidR="002752DE" w:rsidRPr="00BD2B33">
              <w:rPr>
                <w:rStyle w:val="Hyperlink"/>
                <w:noProof/>
              </w:rPr>
              <w:t>7.</w:t>
            </w:r>
            <w:r w:rsidR="002752DE">
              <w:rPr>
                <w:rFonts w:eastAsiaTheme="minorEastAsia"/>
                <w:noProof/>
                <w:lang w:eastAsia="en-GB"/>
              </w:rPr>
              <w:tab/>
            </w:r>
            <w:r w:rsidR="002752DE" w:rsidRPr="00BD2B33">
              <w:rPr>
                <w:rStyle w:val="Hyperlink"/>
                <w:noProof/>
              </w:rPr>
              <w:t>References</w:t>
            </w:r>
            <w:r w:rsidR="002752DE">
              <w:rPr>
                <w:noProof/>
                <w:webHidden/>
              </w:rPr>
              <w:tab/>
            </w:r>
            <w:r w:rsidR="002752DE">
              <w:rPr>
                <w:noProof/>
                <w:webHidden/>
              </w:rPr>
              <w:fldChar w:fldCharType="begin"/>
            </w:r>
            <w:r w:rsidR="002752DE">
              <w:rPr>
                <w:noProof/>
                <w:webHidden/>
              </w:rPr>
              <w:instrText xml:space="preserve"> PAGEREF _Toc517707825 \h </w:instrText>
            </w:r>
            <w:r w:rsidR="002752DE">
              <w:rPr>
                <w:noProof/>
                <w:webHidden/>
              </w:rPr>
            </w:r>
            <w:r w:rsidR="002752DE">
              <w:rPr>
                <w:noProof/>
                <w:webHidden/>
              </w:rPr>
              <w:fldChar w:fldCharType="separate"/>
            </w:r>
            <w:r w:rsidR="002752DE">
              <w:rPr>
                <w:noProof/>
                <w:webHidden/>
              </w:rPr>
              <w:t>15</w:t>
            </w:r>
            <w:r w:rsidR="002752DE">
              <w:rPr>
                <w:noProof/>
                <w:webHidden/>
              </w:rPr>
              <w:fldChar w:fldCharType="end"/>
            </w:r>
          </w:hyperlink>
        </w:p>
        <w:p w14:paraId="5165C674" w14:textId="77777777" w:rsidR="00441B32" w:rsidRPr="00E350B0" w:rsidRDefault="00441B32" w:rsidP="00441B32">
          <w:pPr>
            <w:rPr>
              <w:b/>
              <w:bCs/>
              <w:noProof/>
            </w:rPr>
          </w:pPr>
          <w:r>
            <w:rPr>
              <w:b/>
              <w:bCs/>
              <w:noProof/>
            </w:rPr>
            <w:fldChar w:fldCharType="end"/>
          </w:r>
        </w:p>
      </w:sdtContent>
    </w:sdt>
    <w:p w14:paraId="487B28DB" w14:textId="77777777" w:rsidR="00441B32" w:rsidRDefault="00441B32" w:rsidP="00977F5C">
      <w:pPr>
        <w:pStyle w:val="Heading1"/>
        <w:spacing w:line="276" w:lineRule="auto"/>
        <w:rPr>
          <w:color w:val="auto"/>
        </w:rPr>
      </w:pPr>
      <w:bookmarkStart w:id="1" w:name="_Toc517707818"/>
      <w:r w:rsidRPr="00441B32">
        <w:rPr>
          <w:color w:val="auto"/>
        </w:rPr>
        <w:t>Abstract</w:t>
      </w:r>
      <w:bookmarkEnd w:id="1"/>
    </w:p>
    <w:p w14:paraId="37DB35CC" w14:textId="77777777" w:rsidR="007B3030" w:rsidRDefault="007B3030" w:rsidP="00977F5C">
      <w:pPr>
        <w:spacing w:line="276" w:lineRule="auto"/>
      </w:pPr>
    </w:p>
    <w:p w14:paraId="6FAB9D96" w14:textId="52756CE9" w:rsidR="007B3030" w:rsidRDefault="007B3030" w:rsidP="00977F5C">
      <w:pPr>
        <w:spacing w:line="276" w:lineRule="auto"/>
        <w:rPr>
          <w:rFonts w:ascii="Cambria" w:hAnsi="Cambria"/>
        </w:rPr>
      </w:pPr>
      <w:r>
        <w:rPr>
          <w:rFonts w:ascii="Cambria" w:hAnsi="Cambria"/>
        </w:rPr>
        <w:t>The water quality</w:t>
      </w:r>
      <w:r w:rsidR="00DD48D9">
        <w:rPr>
          <w:rFonts w:ascii="Cambria" w:hAnsi="Cambria"/>
        </w:rPr>
        <w:t xml:space="preserve"> community modelling</w:t>
      </w:r>
      <w:r>
        <w:rPr>
          <w:rFonts w:ascii="Cambria" w:hAnsi="Cambria"/>
        </w:rPr>
        <w:t xml:space="preserve"> project </w:t>
      </w:r>
      <w:r w:rsidR="0086454E">
        <w:rPr>
          <w:rFonts w:ascii="Cambria" w:hAnsi="Cambria"/>
        </w:rPr>
        <w:t xml:space="preserve">researched </w:t>
      </w:r>
      <w:r>
        <w:rPr>
          <w:rFonts w:ascii="Cambria" w:hAnsi="Cambria"/>
        </w:rPr>
        <w:t>three catchments in North London over a nine month period</w:t>
      </w:r>
      <w:r w:rsidR="00DD48D9">
        <w:rPr>
          <w:rFonts w:ascii="Cambria" w:hAnsi="Cambria"/>
        </w:rPr>
        <w:t>,</w:t>
      </w:r>
      <w:r>
        <w:rPr>
          <w:rFonts w:ascii="Cambria" w:hAnsi="Cambria"/>
        </w:rPr>
        <w:t xml:space="preserve"> </w:t>
      </w:r>
      <w:r w:rsidR="00DD48D9">
        <w:rPr>
          <w:rFonts w:ascii="Cambria" w:hAnsi="Cambria"/>
        </w:rPr>
        <w:t>establishing</w:t>
      </w:r>
      <w:r>
        <w:rPr>
          <w:rFonts w:ascii="Cambria" w:hAnsi="Cambria"/>
        </w:rPr>
        <w:t xml:space="preserve"> the pressures on water quality before potential solutions were identified and analysed by the three community modelling groups. </w:t>
      </w:r>
    </w:p>
    <w:p w14:paraId="25C97277" w14:textId="4BBCA32B" w:rsidR="007B3030" w:rsidRDefault="0086454E" w:rsidP="00977F5C">
      <w:pPr>
        <w:spacing w:line="276" w:lineRule="auto"/>
        <w:rPr>
          <w:rFonts w:ascii="Cambria" w:hAnsi="Cambria"/>
        </w:rPr>
      </w:pPr>
      <w:r>
        <w:rPr>
          <w:rFonts w:ascii="Cambria" w:hAnsi="Cambria"/>
        </w:rPr>
        <w:t>T</w:t>
      </w:r>
      <w:r w:rsidR="007B3030">
        <w:rPr>
          <w:rFonts w:ascii="Cambria" w:hAnsi="Cambria"/>
        </w:rPr>
        <w:t xml:space="preserve">he River Lea and </w:t>
      </w:r>
      <w:r w:rsidR="00DD48D9">
        <w:rPr>
          <w:rFonts w:ascii="Cambria" w:hAnsi="Cambria"/>
        </w:rPr>
        <w:t xml:space="preserve">its </w:t>
      </w:r>
      <w:r w:rsidR="007B3030">
        <w:rPr>
          <w:rFonts w:ascii="Cambria" w:hAnsi="Cambria"/>
        </w:rPr>
        <w:t>tr</w:t>
      </w:r>
      <w:r w:rsidR="000C2788">
        <w:rPr>
          <w:rFonts w:ascii="Cambria" w:hAnsi="Cambria"/>
        </w:rPr>
        <w:t>ibutaries in North London are</w:t>
      </w:r>
      <w:r>
        <w:rPr>
          <w:rFonts w:ascii="Cambria" w:hAnsi="Cambria"/>
        </w:rPr>
        <w:t xml:space="preserve"> failing to achieve </w:t>
      </w:r>
      <w:r w:rsidR="000C2788">
        <w:rPr>
          <w:rFonts w:ascii="Cambria" w:hAnsi="Cambria"/>
        </w:rPr>
        <w:t xml:space="preserve">‘good’ ecological status. Understanding the </w:t>
      </w:r>
      <w:r>
        <w:rPr>
          <w:rFonts w:ascii="Cambria" w:hAnsi="Cambria"/>
        </w:rPr>
        <w:t>pressure</w:t>
      </w:r>
      <w:r w:rsidR="000C2788">
        <w:rPr>
          <w:rFonts w:ascii="Cambria" w:hAnsi="Cambria"/>
        </w:rPr>
        <w:t xml:space="preserve">s faced by Salmons Brook, Pymmes Brook and Ching Brook as heavily urbanised rivers, receiving contaminated water through misconnected drains, </w:t>
      </w:r>
      <w:r w:rsidR="00DD48D9">
        <w:rPr>
          <w:rFonts w:ascii="Cambria" w:hAnsi="Cambria"/>
        </w:rPr>
        <w:t xml:space="preserve">over-whelmed </w:t>
      </w:r>
      <w:r w:rsidR="000C2788">
        <w:rPr>
          <w:rFonts w:ascii="Cambria" w:hAnsi="Cambria"/>
        </w:rPr>
        <w:t xml:space="preserve">separate sewers </w:t>
      </w:r>
      <w:r>
        <w:rPr>
          <w:rFonts w:ascii="Cambria" w:hAnsi="Cambria"/>
        </w:rPr>
        <w:t>and urban</w:t>
      </w:r>
      <w:r w:rsidR="00947FB6">
        <w:rPr>
          <w:rFonts w:ascii="Cambria" w:hAnsi="Cambria"/>
        </w:rPr>
        <w:t xml:space="preserve"> </w:t>
      </w:r>
      <w:r>
        <w:rPr>
          <w:rFonts w:ascii="Cambria" w:hAnsi="Cambria"/>
        </w:rPr>
        <w:t>diffuse run</w:t>
      </w:r>
      <w:r w:rsidR="00DD48D9">
        <w:rPr>
          <w:rFonts w:ascii="Cambria" w:hAnsi="Cambria"/>
        </w:rPr>
        <w:t>-</w:t>
      </w:r>
      <w:r>
        <w:rPr>
          <w:rFonts w:ascii="Cambria" w:hAnsi="Cambria"/>
        </w:rPr>
        <w:t>off, has enabled</w:t>
      </w:r>
      <w:r w:rsidR="000C2788">
        <w:rPr>
          <w:rFonts w:ascii="Cambria" w:hAnsi="Cambria"/>
        </w:rPr>
        <w:t xml:space="preserve"> the groups to develop a bespoke model in</w:t>
      </w:r>
      <w:r>
        <w:rPr>
          <w:rFonts w:ascii="Cambria" w:hAnsi="Cambria"/>
        </w:rPr>
        <w:t xml:space="preserve"> which scenarios can be </w:t>
      </w:r>
      <w:r w:rsidR="00053E5F">
        <w:rPr>
          <w:rFonts w:ascii="Cambria" w:hAnsi="Cambria"/>
        </w:rPr>
        <w:t>tested, solutions</w:t>
      </w:r>
      <w:r>
        <w:rPr>
          <w:rFonts w:ascii="Cambria" w:hAnsi="Cambria"/>
        </w:rPr>
        <w:t xml:space="preserve"> identified</w:t>
      </w:r>
      <w:r w:rsidR="00F92006">
        <w:rPr>
          <w:rFonts w:ascii="Cambria" w:hAnsi="Cambria"/>
        </w:rPr>
        <w:t xml:space="preserve"> and the</w:t>
      </w:r>
      <w:r w:rsidR="00DD48D9">
        <w:rPr>
          <w:rFonts w:ascii="Cambria" w:hAnsi="Cambria"/>
        </w:rPr>
        <w:t>ir</w:t>
      </w:r>
      <w:r w:rsidR="00F92006">
        <w:rPr>
          <w:rFonts w:ascii="Cambria" w:hAnsi="Cambria"/>
        </w:rPr>
        <w:t xml:space="preserve"> benefits quantified</w:t>
      </w:r>
      <w:r>
        <w:rPr>
          <w:rFonts w:ascii="Cambria" w:hAnsi="Cambria"/>
        </w:rPr>
        <w:t>.</w:t>
      </w:r>
    </w:p>
    <w:p w14:paraId="3C38F328" w14:textId="77777777" w:rsidR="00441B32" w:rsidRDefault="00441B32" w:rsidP="00977F5C">
      <w:pPr>
        <w:spacing w:line="276" w:lineRule="auto"/>
        <w:rPr>
          <w:rFonts w:asciiTheme="majorHAnsi" w:eastAsiaTheme="majorEastAsia" w:hAnsiTheme="majorHAnsi" w:cstheme="majorBidi"/>
          <w:sz w:val="32"/>
          <w:szCs w:val="32"/>
        </w:rPr>
      </w:pPr>
      <w:r>
        <w:br w:type="page"/>
      </w:r>
    </w:p>
    <w:p w14:paraId="6FD51AA6" w14:textId="77777777" w:rsidR="00441B32" w:rsidRDefault="00441B32" w:rsidP="00977F5C">
      <w:pPr>
        <w:pStyle w:val="Heading1"/>
        <w:numPr>
          <w:ilvl w:val="0"/>
          <w:numId w:val="1"/>
        </w:numPr>
        <w:spacing w:line="276" w:lineRule="auto"/>
        <w:rPr>
          <w:color w:val="auto"/>
        </w:rPr>
      </w:pPr>
      <w:bookmarkStart w:id="2" w:name="_Toc517707819"/>
      <w:r>
        <w:rPr>
          <w:color w:val="auto"/>
        </w:rPr>
        <w:lastRenderedPageBreak/>
        <w:t>Introduction</w:t>
      </w:r>
      <w:bookmarkEnd w:id="2"/>
      <w:r>
        <w:rPr>
          <w:color w:val="auto"/>
        </w:rPr>
        <w:t xml:space="preserve"> </w:t>
      </w:r>
    </w:p>
    <w:p w14:paraId="5D6C3954" w14:textId="77777777" w:rsidR="00441B32" w:rsidRPr="00441B32" w:rsidRDefault="00441B32" w:rsidP="00977F5C">
      <w:pPr>
        <w:spacing w:line="276" w:lineRule="auto"/>
      </w:pPr>
    </w:p>
    <w:p w14:paraId="1BE0426E" w14:textId="3FC38394" w:rsidR="00441B32" w:rsidRDefault="0086454E" w:rsidP="00977F5C">
      <w:pPr>
        <w:spacing w:line="276" w:lineRule="auto"/>
        <w:rPr>
          <w:rFonts w:ascii="Cambria" w:hAnsi="Cambria"/>
        </w:rPr>
      </w:pPr>
      <w:r>
        <w:rPr>
          <w:rFonts w:ascii="Cambria" w:hAnsi="Cambria"/>
        </w:rPr>
        <w:t xml:space="preserve">Community modelling is a </w:t>
      </w:r>
      <w:r w:rsidR="001B032D">
        <w:rPr>
          <w:rFonts w:ascii="Cambria" w:hAnsi="Cambria"/>
        </w:rPr>
        <w:t xml:space="preserve">process </w:t>
      </w:r>
      <w:r w:rsidR="00DD48D9">
        <w:rPr>
          <w:rFonts w:ascii="Cambria" w:hAnsi="Cambria"/>
        </w:rPr>
        <w:t>empowering</w:t>
      </w:r>
      <w:r>
        <w:rPr>
          <w:rFonts w:ascii="Cambria" w:hAnsi="Cambria"/>
        </w:rPr>
        <w:t xml:space="preserve"> local people </w:t>
      </w:r>
      <w:r w:rsidR="00DD48D9">
        <w:rPr>
          <w:rFonts w:ascii="Cambria" w:hAnsi="Cambria"/>
        </w:rPr>
        <w:t xml:space="preserve">by giving them access to </w:t>
      </w:r>
      <w:r>
        <w:rPr>
          <w:rFonts w:ascii="Cambria" w:hAnsi="Cambria"/>
        </w:rPr>
        <w:t xml:space="preserve">resources that can be used to </w:t>
      </w:r>
      <w:r w:rsidR="00F92006">
        <w:rPr>
          <w:rFonts w:ascii="Cambria" w:hAnsi="Cambria"/>
        </w:rPr>
        <w:t xml:space="preserve">help understand and quantify complex environmental issues, test solutions and </w:t>
      </w:r>
      <w:r>
        <w:rPr>
          <w:rFonts w:ascii="Cambria" w:hAnsi="Cambria"/>
        </w:rPr>
        <w:t xml:space="preserve">aid decision making. </w:t>
      </w:r>
      <w:r w:rsidR="00DD48D9">
        <w:rPr>
          <w:rFonts w:ascii="Cambria" w:hAnsi="Cambria"/>
        </w:rPr>
        <w:t xml:space="preserve">It works by combining </w:t>
      </w:r>
      <w:r w:rsidR="006B31DA">
        <w:rPr>
          <w:rFonts w:ascii="Cambria" w:hAnsi="Cambria"/>
        </w:rPr>
        <w:t>communit</w:t>
      </w:r>
      <w:r w:rsidR="00F92006">
        <w:rPr>
          <w:rFonts w:ascii="Cambria" w:hAnsi="Cambria"/>
        </w:rPr>
        <w:t>ies</w:t>
      </w:r>
      <w:r w:rsidR="00DD48D9">
        <w:rPr>
          <w:rFonts w:ascii="Cambria" w:hAnsi="Cambria"/>
        </w:rPr>
        <w:t>’ local knowledge</w:t>
      </w:r>
      <w:r w:rsidR="006B31DA">
        <w:rPr>
          <w:rFonts w:ascii="Cambria" w:hAnsi="Cambria"/>
        </w:rPr>
        <w:t xml:space="preserve"> with academic models and an NGO</w:t>
      </w:r>
      <w:r w:rsidR="00F92006">
        <w:rPr>
          <w:rFonts w:ascii="Cambria" w:hAnsi="Cambria"/>
        </w:rPr>
        <w:t xml:space="preserve"> acting as a trusted facilitator</w:t>
      </w:r>
      <w:r w:rsidR="00DD48D9">
        <w:rPr>
          <w:rFonts w:ascii="Cambria" w:hAnsi="Cambria"/>
        </w:rPr>
        <w:t xml:space="preserve">; in this instance </w:t>
      </w:r>
      <w:r w:rsidR="00BA2068">
        <w:rPr>
          <w:rFonts w:ascii="Cambria" w:hAnsi="Cambria"/>
        </w:rPr>
        <w:t xml:space="preserve">the issue of water quality was explored. </w:t>
      </w:r>
    </w:p>
    <w:p w14:paraId="0561338E" w14:textId="77777777" w:rsidR="007B3030" w:rsidRDefault="007B3030" w:rsidP="00977F5C">
      <w:pPr>
        <w:spacing w:line="276" w:lineRule="auto"/>
        <w:rPr>
          <w:rFonts w:ascii="Cambria" w:hAnsi="Cambria"/>
        </w:rPr>
      </w:pPr>
      <w:r>
        <w:rPr>
          <w:rFonts w:ascii="Cambria" w:hAnsi="Cambria"/>
        </w:rPr>
        <w:t>This project</w:t>
      </w:r>
      <w:r w:rsidR="00F92006">
        <w:rPr>
          <w:rFonts w:ascii="Cambria" w:hAnsi="Cambria"/>
        </w:rPr>
        <w:t xml:space="preserve"> was partially shaped by</w:t>
      </w:r>
      <w:r>
        <w:rPr>
          <w:rFonts w:ascii="Cambria" w:hAnsi="Cambria"/>
        </w:rPr>
        <w:t xml:space="preserve"> t</w:t>
      </w:r>
      <w:r w:rsidR="00641BC4">
        <w:rPr>
          <w:rFonts w:ascii="Cambria" w:hAnsi="Cambria"/>
        </w:rPr>
        <w:t>hree</w:t>
      </w:r>
      <w:r>
        <w:rPr>
          <w:rFonts w:ascii="Cambria" w:hAnsi="Cambria"/>
        </w:rPr>
        <w:t xml:space="preserve"> previous projects; ‘Community Modelling in Otley’</w:t>
      </w:r>
      <w:r w:rsidR="00641BC4">
        <w:rPr>
          <w:rFonts w:ascii="Cambria" w:hAnsi="Cambria"/>
        </w:rPr>
        <w:t>,</w:t>
      </w:r>
      <w:r>
        <w:rPr>
          <w:rFonts w:ascii="Cambria" w:hAnsi="Cambria"/>
        </w:rPr>
        <w:t xml:space="preserve"> </w:t>
      </w:r>
      <w:r w:rsidR="00641BC4">
        <w:rPr>
          <w:rFonts w:ascii="Cambria" w:hAnsi="Cambria"/>
        </w:rPr>
        <w:t xml:space="preserve">‘Ryedale Flood Research Group’ </w:t>
      </w:r>
      <w:r>
        <w:rPr>
          <w:rFonts w:ascii="Cambria" w:hAnsi="Cambria"/>
        </w:rPr>
        <w:t xml:space="preserve">and ‘Community Modelling in the River Kennet’, which investigated flood risk and water quality respectively. </w:t>
      </w:r>
    </w:p>
    <w:p w14:paraId="7D038DE6" w14:textId="13917B7D" w:rsidR="00BA2068" w:rsidRDefault="00BA2068" w:rsidP="00977F5C">
      <w:pPr>
        <w:spacing w:line="276" w:lineRule="auto"/>
        <w:rPr>
          <w:rFonts w:ascii="Cambria" w:hAnsi="Cambria"/>
        </w:rPr>
      </w:pPr>
      <w:r>
        <w:rPr>
          <w:rFonts w:ascii="Cambria" w:hAnsi="Cambria"/>
        </w:rPr>
        <w:t>The community modelling project was in</w:t>
      </w:r>
      <w:r w:rsidR="0086454E">
        <w:rPr>
          <w:rFonts w:ascii="Cambria" w:hAnsi="Cambria"/>
        </w:rPr>
        <w:t xml:space="preserve">troduced by Oxford University to </w:t>
      </w:r>
      <w:r>
        <w:rPr>
          <w:rFonts w:ascii="Cambria" w:hAnsi="Cambria"/>
        </w:rPr>
        <w:t xml:space="preserve">Thames21 who wished to explore other options to mitigate water </w:t>
      </w:r>
      <w:r w:rsidR="00DD48D9">
        <w:rPr>
          <w:rFonts w:ascii="Cambria" w:hAnsi="Cambria"/>
        </w:rPr>
        <w:t xml:space="preserve">pollution </w:t>
      </w:r>
      <w:r>
        <w:rPr>
          <w:rFonts w:ascii="Cambria" w:hAnsi="Cambria"/>
        </w:rPr>
        <w:t xml:space="preserve">in three tributaries of the River Lea. </w:t>
      </w:r>
      <w:r w:rsidR="0086454E">
        <w:rPr>
          <w:rFonts w:ascii="Cambria" w:hAnsi="Cambria"/>
        </w:rPr>
        <w:t>Following strong feedback on the issues by members of the public, the programme aims to combine an evidence</w:t>
      </w:r>
      <w:r w:rsidR="00DD48D9">
        <w:rPr>
          <w:rFonts w:ascii="Cambria" w:hAnsi="Cambria"/>
        </w:rPr>
        <w:t>-</w:t>
      </w:r>
      <w:r w:rsidR="0086454E">
        <w:rPr>
          <w:rFonts w:ascii="Cambria" w:hAnsi="Cambria"/>
        </w:rPr>
        <w:t>based approach with the catchment</w:t>
      </w:r>
      <w:r w:rsidR="00DD48D9">
        <w:rPr>
          <w:rFonts w:ascii="Cambria" w:hAnsi="Cambria"/>
        </w:rPr>
        <w:t>-</w:t>
      </w:r>
      <w:r w:rsidR="0086454E">
        <w:rPr>
          <w:rFonts w:ascii="Cambria" w:hAnsi="Cambria"/>
        </w:rPr>
        <w:t xml:space="preserve">based approach to guide development and sustain a healthy river for future generations. </w:t>
      </w:r>
      <w:r>
        <w:rPr>
          <w:rFonts w:ascii="Cambria" w:hAnsi="Cambria"/>
        </w:rPr>
        <w:t>Over the nine month period, the groups developed three bespoke models for each catchment</w:t>
      </w:r>
      <w:r w:rsidR="003474E4">
        <w:rPr>
          <w:rFonts w:ascii="Cambria" w:hAnsi="Cambria"/>
        </w:rPr>
        <w:t xml:space="preserve"> (Pymmes, Salmons and Ching)</w:t>
      </w:r>
      <w:r>
        <w:rPr>
          <w:rFonts w:ascii="Cambria" w:hAnsi="Cambria"/>
        </w:rPr>
        <w:t xml:space="preserve">, trialling various scenarios to investigate the potential benefits of </w:t>
      </w:r>
      <w:r w:rsidR="0086454E">
        <w:rPr>
          <w:rFonts w:ascii="Cambria" w:hAnsi="Cambria"/>
        </w:rPr>
        <w:t>constructed wetlands</w:t>
      </w:r>
      <w:r>
        <w:rPr>
          <w:rFonts w:ascii="Cambria" w:hAnsi="Cambria"/>
        </w:rPr>
        <w:t xml:space="preserve">. </w:t>
      </w:r>
    </w:p>
    <w:p w14:paraId="0C679D0E" w14:textId="77777777" w:rsidR="007B3030" w:rsidRDefault="00BA2068" w:rsidP="00977F5C">
      <w:pPr>
        <w:spacing w:line="276" w:lineRule="auto"/>
        <w:rPr>
          <w:rFonts w:ascii="Cambria" w:hAnsi="Cambria"/>
        </w:rPr>
      </w:pPr>
      <w:r>
        <w:rPr>
          <w:rFonts w:ascii="Cambria" w:hAnsi="Cambria"/>
        </w:rPr>
        <w:t>Community modelling is underpinned by the notion of transdisciplinary engagement between social and physical scientists and affected local people (Becker, Odoni, Landstr</w:t>
      </w:r>
      <w:r w:rsidR="006C1E72">
        <w:rPr>
          <w:rFonts w:ascii="Cambria" w:hAnsi="Cambria"/>
        </w:rPr>
        <w:t>ö</w:t>
      </w:r>
      <w:r>
        <w:rPr>
          <w:rFonts w:ascii="Cambria" w:hAnsi="Cambria"/>
        </w:rPr>
        <w:t xml:space="preserve">m &amp; Whatmore, 2017). </w:t>
      </w:r>
    </w:p>
    <w:p w14:paraId="7E00D628" w14:textId="77777777" w:rsidR="007B3030" w:rsidRDefault="007B3030" w:rsidP="00977F5C">
      <w:pPr>
        <w:spacing w:line="276" w:lineRule="auto"/>
        <w:rPr>
          <w:rFonts w:ascii="Cambria" w:hAnsi="Cambria"/>
        </w:rPr>
      </w:pPr>
      <w:r>
        <w:rPr>
          <w:rFonts w:ascii="Cambria" w:hAnsi="Cambria"/>
        </w:rPr>
        <w:t>The objectives of this project were to:</w:t>
      </w:r>
    </w:p>
    <w:p w14:paraId="0124C5F4" w14:textId="77777777" w:rsidR="000C2788" w:rsidRDefault="000C2788" w:rsidP="00977F5C">
      <w:pPr>
        <w:pStyle w:val="ListParagraph"/>
        <w:numPr>
          <w:ilvl w:val="0"/>
          <w:numId w:val="2"/>
        </w:numPr>
        <w:spacing w:line="276" w:lineRule="auto"/>
        <w:rPr>
          <w:rFonts w:ascii="Cambria" w:hAnsi="Cambria"/>
        </w:rPr>
      </w:pPr>
      <w:r>
        <w:rPr>
          <w:rFonts w:ascii="Cambria" w:hAnsi="Cambria"/>
        </w:rPr>
        <w:t xml:space="preserve">Enable an enhanced understanding of the sources of pollution (thematic and geographic) </w:t>
      </w:r>
    </w:p>
    <w:p w14:paraId="7ACADA35" w14:textId="4F3B2C92" w:rsidR="007B3030" w:rsidRPr="000C2788" w:rsidRDefault="000C2788" w:rsidP="00977F5C">
      <w:pPr>
        <w:pStyle w:val="ListParagraph"/>
        <w:numPr>
          <w:ilvl w:val="0"/>
          <w:numId w:val="2"/>
        </w:numPr>
        <w:spacing w:line="276" w:lineRule="auto"/>
        <w:rPr>
          <w:rFonts w:ascii="Cambria" w:hAnsi="Cambria"/>
        </w:rPr>
      </w:pPr>
      <w:r>
        <w:rPr>
          <w:rFonts w:ascii="Cambria" w:hAnsi="Cambria"/>
        </w:rPr>
        <w:t xml:space="preserve">Identify strategically important areas to deliver water quality improvements </w:t>
      </w:r>
      <w:r w:rsidR="00DD48D9">
        <w:rPr>
          <w:rFonts w:ascii="Cambria" w:hAnsi="Cambria"/>
        </w:rPr>
        <w:t xml:space="preserve">at </w:t>
      </w:r>
      <w:r>
        <w:rPr>
          <w:rFonts w:ascii="Cambria" w:hAnsi="Cambria"/>
        </w:rPr>
        <w:t xml:space="preserve">a catchment scale </w:t>
      </w:r>
    </w:p>
    <w:p w14:paraId="532228C7" w14:textId="5E3490C6" w:rsidR="007B3030" w:rsidRDefault="000C2788" w:rsidP="00977F5C">
      <w:pPr>
        <w:pStyle w:val="ListParagraph"/>
        <w:numPr>
          <w:ilvl w:val="0"/>
          <w:numId w:val="2"/>
        </w:numPr>
        <w:spacing w:line="276" w:lineRule="auto"/>
        <w:rPr>
          <w:rFonts w:ascii="Cambria" w:hAnsi="Cambria"/>
        </w:rPr>
      </w:pPr>
      <w:r>
        <w:rPr>
          <w:rFonts w:ascii="Cambria" w:hAnsi="Cambria"/>
        </w:rPr>
        <w:t xml:space="preserve">Investigate </w:t>
      </w:r>
      <w:r w:rsidR="00DD48D9">
        <w:rPr>
          <w:rFonts w:ascii="Cambria" w:hAnsi="Cambria"/>
        </w:rPr>
        <w:t xml:space="preserve">and </w:t>
      </w:r>
      <w:r>
        <w:rPr>
          <w:rFonts w:ascii="Cambria" w:hAnsi="Cambria"/>
        </w:rPr>
        <w:t xml:space="preserve"> analyse the impact of introducing local actions </w:t>
      </w:r>
    </w:p>
    <w:p w14:paraId="60833388" w14:textId="029E8DD3" w:rsidR="000C2788" w:rsidRPr="000C2788" w:rsidRDefault="007B3030" w:rsidP="00977F5C">
      <w:pPr>
        <w:pStyle w:val="ListParagraph"/>
        <w:numPr>
          <w:ilvl w:val="1"/>
          <w:numId w:val="1"/>
        </w:numPr>
        <w:spacing w:line="276" w:lineRule="auto"/>
      </w:pPr>
      <w:r w:rsidRPr="000C2788">
        <w:rPr>
          <w:rFonts w:ascii="Cambria" w:hAnsi="Cambria"/>
        </w:rPr>
        <w:t>Prioritise solutions</w:t>
      </w:r>
      <w:r w:rsidR="000C2788" w:rsidRPr="000C2788">
        <w:rPr>
          <w:rFonts w:ascii="Cambria" w:hAnsi="Cambria"/>
        </w:rPr>
        <w:t xml:space="preserve"> (including </w:t>
      </w:r>
      <w:r w:rsidR="00DD48D9">
        <w:rPr>
          <w:rFonts w:ascii="Cambria" w:hAnsi="Cambria"/>
        </w:rPr>
        <w:t>type and location</w:t>
      </w:r>
      <w:r w:rsidR="000C2788" w:rsidRPr="000C2788">
        <w:rPr>
          <w:rFonts w:ascii="Cambria" w:hAnsi="Cambria"/>
        </w:rPr>
        <w:t>)</w:t>
      </w:r>
      <w:r w:rsidRPr="000C2788">
        <w:rPr>
          <w:rFonts w:ascii="Cambria" w:hAnsi="Cambria"/>
        </w:rPr>
        <w:t xml:space="preserve"> which can be implemented in </w:t>
      </w:r>
      <w:r w:rsidR="000C2788" w:rsidRPr="000C2788">
        <w:rPr>
          <w:rFonts w:ascii="Cambria" w:hAnsi="Cambria"/>
        </w:rPr>
        <w:t>the Salmons Brook, Pymmes Brook and Ching Brook</w:t>
      </w:r>
      <w:r w:rsidRPr="000C2788">
        <w:rPr>
          <w:rFonts w:ascii="Cambria" w:hAnsi="Cambria"/>
        </w:rPr>
        <w:t xml:space="preserve"> catchment</w:t>
      </w:r>
      <w:r w:rsidR="000C2788" w:rsidRPr="000C2788">
        <w:rPr>
          <w:rFonts w:ascii="Cambria" w:hAnsi="Cambria"/>
        </w:rPr>
        <w:t>s</w:t>
      </w:r>
      <w:r w:rsidRPr="000C2788">
        <w:rPr>
          <w:rFonts w:ascii="Cambria" w:hAnsi="Cambria"/>
        </w:rPr>
        <w:t xml:space="preserve"> </w:t>
      </w:r>
    </w:p>
    <w:p w14:paraId="245CCF0F" w14:textId="77777777" w:rsidR="000C2788" w:rsidRPr="004B2CE8" w:rsidRDefault="00441B32" w:rsidP="00977F5C">
      <w:pPr>
        <w:pStyle w:val="Subtitle"/>
        <w:numPr>
          <w:ilvl w:val="1"/>
          <w:numId w:val="3"/>
        </w:numPr>
        <w:spacing w:line="276" w:lineRule="auto"/>
        <w:rPr>
          <w:rFonts w:ascii="Cambria" w:hAnsi="Cambria"/>
        </w:rPr>
      </w:pPr>
      <w:r w:rsidRPr="004B2CE8">
        <w:rPr>
          <w:rFonts w:ascii="Cambria" w:hAnsi="Cambria"/>
        </w:rPr>
        <w:t xml:space="preserve">Catchment </w:t>
      </w:r>
    </w:p>
    <w:p w14:paraId="17804672" w14:textId="5C8312F5" w:rsidR="00441B32" w:rsidRDefault="00E67E7C" w:rsidP="00977F5C">
      <w:pPr>
        <w:spacing w:line="276" w:lineRule="auto"/>
        <w:rPr>
          <w:rFonts w:ascii="Cambria" w:hAnsi="Cambria"/>
          <w:color w:val="FF0000"/>
        </w:rPr>
      </w:pPr>
      <w:r>
        <w:rPr>
          <w:rFonts w:ascii="Cambria" w:hAnsi="Cambria"/>
        </w:rPr>
        <w:t>Located in North London, three significant tributaries to the River Lea; the project investigates the Salmons Brook, Pymmes Brook and Ching Brook</w:t>
      </w:r>
      <w:r w:rsidR="00896362">
        <w:rPr>
          <w:rFonts w:ascii="Cambria" w:hAnsi="Cambria"/>
        </w:rPr>
        <w:t xml:space="preserve"> </w:t>
      </w:r>
      <w:r w:rsidR="0086454E">
        <w:rPr>
          <w:rFonts w:ascii="Cambria" w:hAnsi="Cambria"/>
        </w:rPr>
        <w:t>(</w:t>
      </w:r>
      <w:r w:rsidR="00896362">
        <w:rPr>
          <w:rFonts w:ascii="Cambria" w:hAnsi="Cambria"/>
        </w:rPr>
        <w:t>figure 1</w:t>
      </w:r>
      <w:r w:rsidR="0086454E">
        <w:rPr>
          <w:rFonts w:ascii="Cambria" w:hAnsi="Cambria"/>
        </w:rPr>
        <w:t>)</w:t>
      </w:r>
      <w:r>
        <w:rPr>
          <w:rFonts w:ascii="Cambria" w:hAnsi="Cambria"/>
        </w:rPr>
        <w:t>. All thr</w:t>
      </w:r>
      <w:r w:rsidR="00520F43">
        <w:rPr>
          <w:rFonts w:ascii="Cambria" w:hAnsi="Cambria"/>
        </w:rPr>
        <w:t xml:space="preserve">ee rivers are heavily urbanised, and as a consequence suffer from urban diffuse pollution, which is difficult to trace and attribute (Whitehead, 2017). </w:t>
      </w:r>
      <w:r w:rsidR="00A8775E">
        <w:rPr>
          <w:rFonts w:ascii="Cambria" w:hAnsi="Cambria"/>
        </w:rPr>
        <w:t>Pymmes Brook catchment is 41.</w:t>
      </w:r>
      <w:r w:rsidR="00A8775E" w:rsidRPr="00A8775E">
        <w:rPr>
          <w:rFonts w:ascii="Cambria" w:hAnsi="Cambria"/>
        </w:rPr>
        <w:t>37km</w:t>
      </w:r>
      <w:r w:rsidR="00A8775E" w:rsidRPr="00A8775E">
        <w:rPr>
          <w:rFonts w:ascii="Cambria" w:hAnsi="Cambria"/>
          <w:vertAlign w:val="superscript"/>
        </w:rPr>
        <w:t>2</w:t>
      </w:r>
      <w:r w:rsidR="00A8775E">
        <w:rPr>
          <w:rFonts w:ascii="Cambria" w:hAnsi="Cambria"/>
          <w:vertAlign w:val="superscript"/>
        </w:rPr>
        <w:t>,</w:t>
      </w:r>
      <w:r w:rsidR="00A8775E">
        <w:rPr>
          <w:rFonts w:ascii="Cambria" w:hAnsi="Cambria"/>
        </w:rPr>
        <w:t xml:space="preserve"> Salmons Brook catchment is 23.</w:t>
      </w:r>
      <w:r w:rsidR="00A8775E" w:rsidRPr="00A8775E">
        <w:rPr>
          <w:rFonts w:ascii="Cambria" w:hAnsi="Cambria"/>
        </w:rPr>
        <w:t>58km</w:t>
      </w:r>
      <w:r w:rsidR="00A8775E" w:rsidRPr="00A8775E">
        <w:rPr>
          <w:rFonts w:ascii="Cambria" w:hAnsi="Cambria"/>
          <w:vertAlign w:val="superscript"/>
        </w:rPr>
        <w:t>2</w:t>
      </w:r>
      <w:r w:rsidR="00A8775E">
        <w:rPr>
          <w:rFonts w:ascii="Cambria" w:hAnsi="Cambria"/>
        </w:rPr>
        <w:t xml:space="preserve"> and Ching Brook catchment is 19.39km</w:t>
      </w:r>
      <w:r w:rsidR="00A8775E" w:rsidRPr="000E1FDD">
        <w:rPr>
          <w:rFonts w:ascii="Cambria" w:hAnsi="Cambria"/>
          <w:vertAlign w:val="superscript"/>
        </w:rPr>
        <w:t>2</w:t>
      </w:r>
      <w:r w:rsidR="00324B71" w:rsidRPr="000E1FDD">
        <w:rPr>
          <w:rFonts w:ascii="Cambria" w:hAnsi="Cambria"/>
          <w:vertAlign w:val="superscript"/>
        </w:rPr>
        <w:t xml:space="preserve"> </w:t>
      </w:r>
      <w:r w:rsidR="00324B71" w:rsidRPr="000E1FDD">
        <w:rPr>
          <w:rFonts w:ascii="Cambria" w:hAnsi="Cambria"/>
        </w:rPr>
        <w:t>(EA, 2018)</w:t>
      </w:r>
      <w:r w:rsidR="00A8775E" w:rsidRPr="000E1FDD">
        <w:rPr>
          <w:rFonts w:ascii="Cambria" w:hAnsi="Cambria"/>
        </w:rPr>
        <w:t xml:space="preserve">. The </w:t>
      </w:r>
      <w:r w:rsidR="00A8775E">
        <w:rPr>
          <w:rFonts w:ascii="Cambria" w:hAnsi="Cambria"/>
        </w:rPr>
        <w:t>lower Salmons Brook is a recipient of Deephams Sewage Treatment Plant. The area occupied by the three catchments is relatively flat, with elevations ranging from 130m to 10m</w:t>
      </w:r>
      <w:r w:rsidR="00CF5881">
        <w:rPr>
          <w:rFonts w:ascii="Cambria" w:hAnsi="Cambria"/>
        </w:rPr>
        <w:t>AOD</w:t>
      </w:r>
      <w:r w:rsidR="00A8775E">
        <w:rPr>
          <w:rFonts w:ascii="Cambria" w:hAnsi="Cambria"/>
        </w:rPr>
        <w:t xml:space="preserve">. The upper catchment of the Salmons Brook catchment is agricultural. </w:t>
      </w:r>
      <w:r w:rsidR="004B2CE8">
        <w:rPr>
          <w:rFonts w:ascii="Cambria" w:hAnsi="Cambria"/>
        </w:rPr>
        <w:t>A separate sewer system treats wastewater,</w:t>
      </w:r>
      <w:r w:rsidR="0086454E">
        <w:rPr>
          <w:rFonts w:ascii="Cambria" w:hAnsi="Cambria"/>
        </w:rPr>
        <w:t xml:space="preserve"> from</w:t>
      </w:r>
      <w:r w:rsidR="004B2CE8">
        <w:rPr>
          <w:rFonts w:ascii="Cambria" w:hAnsi="Cambria"/>
        </w:rPr>
        <w:t xml:space="preserve"> both industrial and commercial</w:t>
      </w:r>
      <w:r w:rsidR="0086454E">
        <w:rPr>
          <w:rFonts w:ascii="Cambria" w:hAnsi="Cambria"/>
        </w:rPr>
        <w:t xml:space="preserve"> sources</w:t>
      </w:r>
      <w:r w:rsidR="004B2CE8">
        <w:rPr>
          <w:rFonts w:ascii="Cambria" w:hAnsi="Cambria"/>
        </w:rPr>
        <w:t xml:space="preserve">. </w:t>
      </w:r>
      <w:r w:rsidR="00A26A90">
        <w:rPr>
          <w:rFonts w:ascii="Cambria" w:hAnsi="Cambria"/>
        </w:rPr>
        <w:t xml:space="preserve">Misconnected plumbing, </w:t>
      </w:r>
      <w:r w:rsidR="00CC6027">
        <w:rPr>
          <w:rFonts w:ascii="Cambria" w:hAnsi="Cambria"/>
        </w:rPr>
        <w:t>when wastewater effluent or trade effluent is connected to the surface water pipe</w:t>
      </w:r>
      <w:r w:rsidR="00A26A90">
        <w:rPr>
          <w:rFonts w:ascii="Cambria" w:hAnsi="Cambria"/>
        </w:rPr>
        <w:t xml:space="preserve"> can cause pollution</w:t>
      </w:r>
      <w:r w:rsidR="00CC6027">
        <w:rPr>
          <w:rFonts w:ascii="Cambria" w:hAnsi="Cambria"/>
        </w:rPr>
        <w:t xml:space="preserve">. This can lead to hydraulic overloading, surcharging and flooding (Whitehead, 2017). </w:t>
      </w:r>
      <w:r w:rsidR="004B2CE8">
        <w:rPr>
          <w:rFonts w:ascii="Cambria" w:hAnsi="Cambria"/>
        </w:rPr>
        <w:t xml:space="preserve"> </w:t>
      </w:r>
      <w:r w:rsidR="00E069EA" w:rsidRPr="00E069EA">
        <w:rPr>
          <w:rFonts w:ascii="Cambria" w:hAnsi="Cambria"/>
          <w:color w:val="FF0000"/>
        </w:rPr>
        <w:t xml:space="preserve"> </w:t>
      </w:r>
    </w:p>
    <w:p w14:paraId="437BD135" w14:textId="77777777" w:rsidR="00947FB6" w:rsidRDefault="00947FB6" w:rsidP="00977F5C">
      <w:pPr>
        <w:spacing w:line="276" w:lineRule="auto"/>
        <w:rPr>
          <w:rFonts w:ascii="Cambria" w:hAnsi="Cambria"/>
          <w:color w:val="FF0000"/>
        </w:rPr>
      </w:pPr>
    </w:p>
    <w:p w14:paraId="2F1B4EA5" w14:textId="77777777" w:rsidR="00441B32" w:rsidRPr="004B2CE8" w:rsidRDefault="00441B32" w:rsidP="00977F5C">
      <w:pPr>
        <w:pStyle w:val="Subtitle"/>
        <w:numPr>
          <w:ilvl w:val="1"/>
          <w:numId w:val="1"/>
        </w:numPr>
        <w:spacing w:line="276" w:lineRule="auto"/>
        <w:rPr>
          <w:rFonts w:ascii="Cambria" w:hAnsi="Cambria"/>
        </w:rPr>
      </w:pPr>
      <w:r w:rsidRPr="004B2CE8">
        <w:rPr>
          <w:rFonts w:ascii="Cambria" w:hAnsi="Cambria"/>
        </w:rPr>
        <w:lastRenderedPageBreak/>
        <w:t>Rationale</w:t>
      </w:r>
    </w:p>
    <w:p w14:paraId="45A4D181" w14:textId="0015B6AC" w:rsidR="00441B32" w:rsidRPr="00441B32" w:rsidRDefault="00CF5881" w:rsidP="00977F5C">
      <w:pPr>
        <w:spacing w:line="276" w:lineRule="auto"/>
      </w:pPr>
      <w:r>
        <w:rPr>
          <w:noProof/>
          <w:lang w:eastAsia="en-GB"/>
        </w:rPr>
        <w:drawing>
          <wp:anchor distT="0" distB="0" distL="114300" distR="114300" simplePos="0" relativeHeight="251674624" behindDoc="0" locked="0" layoutInCell="1" allowOverlap="1" wp14:anchorId="0F426128" wp14:editId="0095F874">
            <wp:simplePos x="0" y="0"/>
            <wp:positionH relativeFrom="column">
              <wp:posOffset>-44450</wp:posOffset>
            </wp:positionH>
            <wp:positionV relativeFrom="paragraph">
              <wp:posOffset>1688465</wp:posOffset>
            </wp:positionV>
            <wp:extent cx="5665470" cy="399034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_P_S_cbo_ri.PNG"/>
                    <pic:cNvPicPr/>
                  </pic:nvPicPr>
                  <pic:blipFill>
                    <a:blip r:embed="rId8">
                      <a:extLst>
                        <a:ext uri="{28A0092B-C50C-407E-A947-70E740481C1C}">
                          <a14:useLocalDpi xmlns:a14="http://schemas.microsoft.com/office/drawing/2010/main" val="0"/>
                        </a:ext>
                      </a:extLst>
                    </a:blip>
                    <a:stretch>
                      <a:fillRect/>
                    </a:stretch>
                  </pic:blipFill>
                  <pic:spPr>
                    <a:xfrm>
                      <a:off x="0" y="0"/>
                      <a:ext cx="5665470" cy="3990340"/>
                    </a:xfrm>
                    <a:prstGeom prst="rect">
                      <a:avLst/>
                    </a:prstGeom>
                  </pic:spPr>
                </pic:pic>
              </a:graphicData>
            </a:graphic>
            <wp14:sizeRelH relativeFrom="margin">
              <wp14:pctWidth>0</wp14:pctWidth>
            </wp14:sizeRelH>
            <wp14:sizeRelV relativeFrom="margin">
              <wp14:pctHeight>0</wp14:pctHeight>
            </wp14:sizeRelV>
          </wp:anchor>
        </w:drawing>
      </w:r>
      <w:r w:rsidR="00333924">
        <w:rPr>
          <w:rFonts w:ascii="Cambria" w:hAnsi="Cambria"/>
        </w:rPr>
        <w:t xml:space="preserve">The Salmons Brook catchment has six green infrastructure projects installed; from constructed wetlands to swales. Schemes such as Firs Farm, Enfield has been highly commended for a SWIG Award, and won a </w:t>
      </w:r>
      <w:r w:rsidR="00C46C3A">
        <w:rPr>
          <w:rFonts w:ascii="Cambria" w:hAnsi="Cambria"/>
        </w:rPr>
        <w:t>Living Waterways Award</w:t>
      </w:r>
      <w:r w:rsidR="00333924">
        <w:rPr>
          <w:rFonts w:ascii="Cambria" w:hAnsi="Cambria"/>
        </w:rPr>
        <w:t>. The treatment efficiency of the</w:t>
      </w:r>
      <w:r>
        <w:rPr>
          <w:rFonts w:ascii="Cambria" w:hAnsi="Cambria"/>
        </w:rPr>
        <w:t>se systems</w:t>
      </w:r>
      <w:r w:rsidR="00333924">
        <w:rPr>
          <w:rFonts w:ascii="Cambria" w:hAnsi="Cambria"/>
        </w:rPr>
        <w:t xml:space="preserve"> has been monitored by Gilbert (2016) and the EA (2017) demonstrating a constructed wetlands ability to retain and remove nutrients. The six projects installed in the Salmons Brook catchment, under the umbrella project ‘Salmons Brook Healthy Rivers Challenge’ collectively reduce nitrate and phosphate concentrations. </w:t>
      </w:r>
      <w:r w:rsidR="00947FB6">
        <w:rPr>
          <w:rFonts w:ascii="Cambria" w:hAnsi="Cambria"/>
        </w:rPr>
        <w:t xml:space="preserve">The community modelling project aimed to build on this </w:t>
      </w:r>
      <w:r w:rsidR="00333924">
        <w:rPr>
          <w:rFonts w:ascii="Cambria" w:hAnsi="Cambria"/>
        </w:rPr>
        <w:t xml:space="preserve">this in-situ monitoring of </w:t>
      </w:r>
      <w:r w:rsidR="0086454E">
        <w:rPr>
          <w:rFonts w:ascii="Cambria" w:hAnsi="Cambria"/>
        </w:rPr>
        <w:t>constructed wetlands</w:t>
      </w:r>
      <w:r w:rsidR="00947FB6">
        <w:rPr>
          <w:rFonts w:ascii="Cambria" w:hAnsi="Cambria"/>
        </w:rPr>
        <w:t xml:space="preserve"> in order to propose hypothetical solutions for improving water quality  in the three catchments. </w:t>
      </w:r>
    </w:p>
    <w:p w14:paraId="5F06193A" w14:textId="77777777" w:rsidR="00441B32" w:rsidRDefault="00CF5881" w:rsidP="00CF5881">
      <w:pPr>
        <w:pStyle w:val="Caption"/>
      </w:pPr>
      <w:r w:rsidRPr="00896362">
        <w:rPr>
          <w:b w:val="0"/>
        </w:rPr>
        <w:t xml:space="preserve">Figure </w:t>
      </w:r>
      <w:r>
        <w:rPr>
          <w:b w:val="0"/>
        </w:rPr>
        <w:fldChar w:fldCharType="begin"/>
      </w:r>
      <w:r>
        <w:rPr>
          <w:b w:val="0"/>
        </w:rPr>
        <w:instrText xml:space="preserve"> STYLEREF 1 \s </w:instrText>
      </w:r>
      <w:r>
        <w:rPr>
          <w:b w:val="0"/>
        </w:rPr>
        <w:fldChar w:fldCharType="separate"/>
      </w:r>
      <w:r>
        <w:rPr>
          <w:b w:val="0"/>
          <w:noProof/>
        </w:rPr>
        <w:t>1</w:t>
      </w:r>
      <w:r>
        <w:rPr>
          <w:b w:val="0"/>
        </w:rPr>
        <w:fldChar w:fldCharType="end"/>
      </w:r>
      <w:r>
        <w:rPr>
          <w:b w:val="0"/>
        </w:rPr>
        <w:noBreakHyphen/>
      </w:r>
      <w:r>
        <w:rPr>
          <w:b w:val="0"/>
        </w:rPr>
        <w:fldChar w:fldCharType="begin"/>
      </w:r>
      <w:r>
        <w:rPr>
          <w:b w:val="0"/>
        </w:rPr>
        <w:instrText xml:space="preserve"> SEQ Figure \* ARABIC \s 1 </w:instrText>
      </w:r>
      <w:r>
        <w:rPr>
          <w:b w:val="0"/>
        </w:rPr>
        <w:fldChar w:fldCharType="separate"/>
      </w:r>
      <w:r>
        <w:rPr>
          <w:b w:val="0"/>
          <w:noProof/>
        </w:rPr>
        <w:t>2</w:t>
      </w:r>
      <w:r>
        <w:rPr>
          <w:b w:val="0"/>
        </w:rPr>
        <w:fldChar w:fldCharType="end"/>
      </w:r>
      <w:r w:rsidRPr="00896362">
        <w:rPr>
          <w:b w:val="0"/>
        </w:rPr>
        <w:t xml:space="preserve"> A map showing the three river catchments located in North London.</w:t>
      </w:r>
    </w:p>
    <w:p w14:paraId="0802BE55" w14:textId="77777777" w:rsidR="00441B32" w:rsidRDefault="00441B32" w:rsidP="00977F5C">
      <w:pPr>
        <w:pStyle w:val="Heading1"/>
        <w:numPr>
          <w:ilvl w:val="0"/>
          <w:numId w:val="1"/>
        </w:numPr>
        <w:spacing w:line="276" w:lineRule="auto"/>
        <w:rPr>
          <w:color w:val="auto"/>
        </w:rPr>
      </w:pPr>
      <w:bookmarkStart w:id="3" w:name="_Toc517707820"/>
      <w:r w:rsidRPr="00441B32">
        <w:rPr>
          <w:color w:val="auto"/>
        </w:rPr>
        <w:t>Community Modelling</w:t>
      </w:r>
      <w:bookmarkEnd w:id="3"/>
      <w:r w:rsidRPr="00441B32">
        <w:rPr>
          <w:color w:val="auto"/>
        </w:rPr>
        <w:t xml:space="preserve"> </w:t>
      </w:r>
    </w:p>
    <w:p w14:paraId="6C4C8ACF" w14:textId="77777777" w:rsidR="00CF5881" w:rsidRPr="00CF5881" w:rsidRDefault="00CF5881" w:rsidP="00CF5881"/>
    <w:p w14:paraId="4F760F6D" w14:textId="77777777" w:rsidR="00725BF5" w:rsidRDefault="00725BF5" w:rsidP="00977F5C">
      <w:pPr>
        <w:spacing w:line="276" w:lineRule="auto"/>
        <w:rPr>
          <w:rFonts w:ascii="Cambria" w:hAnsi="Cambria"/>
        </w:rPr>
      </w:pPr>
      <w:r>
        <w:rPr>
          <w:rFonts w:ascii="Cambria" w:hAnsi="Cambria"/>
        </w:rPr>
        <w:t>The community modelling water quality project built upon previous work undertaken by the Otley Community Flood Modelling Group (OCFM)</w:t>
      </w:r>
      <w:r w:rsidR="00FD4224">
        <w:rPr>
          <w:rFonts w:ascii="Cambria" w:hAnsi="Cambria"/>
        </w:rPr>
        <w:t>, Ryedale Flood Research Group</w:t>
      </w:r>
      <w:r>
        <w:rPr>
          <w:rFonts w:ascii="Cambria" w:hAnsi="Cambria"/>
        </w:rPr>
        <w:t xml:space="preserve"> and the River Kennet Environmental Com</w:t>
      </w:r>
      <w:r w:rsidR="00FD4224">
        <w:rPr>
          <w:rFonts w:ascii="Cambria" w:hAnsi="Cambria"/>
        </w:rPr>
        <w:t>petency Group (Kennet ECG). All</w:t>
      </w:r>
      <w:r>
        <w:rPr>
          <w:rFonts w:ascii="Cambria" w:hAnsi="Cambria"/>
        </w:rPr>
        <w:t xml:space="preserve"> projects highlighted the benefits of engaging with local residents to address local environmental issues. Environmental competency groups are designed to create a space in which those most directly affected by the problem can interrogate expert knowledge a</w:t>
      </w:r>
      <w:r w:rsidR="00FD4224">
        <w:rPr>
          <w:rFonts w:ascii="Cambria" w:hAnsi="Cambria"/>
        </w:rPr>
        <w:t>nd bring their experiences to bear</w:t>
      </w:r>
      <w:r>
        <w:rPr>
          <w:rFonts w:ascii="Cambria" w:hAnsi="Cambria"/>
        </w:rPr>
        <w:t xml:space="preserve"> on how the problem is framed and different courses of action (Whitehead, 2016). </w:t>
      </w:r>
    </w:p>
    <w:p w14:paraId="7F3A958C" w14:textId="77777777" w:rsidR="00CF5881" w:rsidRDefault="00CF5881" w:rsidP="00977F5C">
      <w:pPr>
        <w:spacing w:line="276" w:lineRule="auto"/>
        <w:rPr>
          <w:rFonts w:ascii="Cambria" w:hAnsi="Cambria"/>
        </w:rPr>
      </w:pPr>
    </w:p>
    <w:p w14:paraId="05880A9B" w14:textId="77777777" w:rsidR="00CF5881" w:rsidRDefault="00CF5881" w:rsidP="00977F5C">
      <w:pPr>
        <w:spacing w:line="276" w:lineRule="auto"/>
        <w:rPr>
          <w:rFonts w:ascii="Cambria" w:hAnsi="Cambria"/>
        </w:rPr>
      </w:pPr>
    </w:p>
    <w:p w14:paraId="4F0BA1C4" w14:textId="77777777" w:rsidR="00CF5881" w:rsidRPr="00725BF5" w:rsidRDefault="00CF5881" w:rsidP="00977F5C">
      <w:pPr>
        <w:spacing w:line="276" w:lineRule="auto"/>
        <w:rPr>
          <w:rFonts w:ascii="Cambria" w:hAnsi="Cambria"/>
        </w:rPr>
      </w:pPr>
    </w:p>
    <w:p w14:paraId="0C49C4A8" w14:textId="77777777" w:rsidR="00441B32" w:rsidRPr="004B2CE8" w:rsidRDefault="00441B32" w:rsidP="00977F5C">
      <w:pPr>
        <w:pStyle w:val="Subtitle"/>
        <w:numPr>
          <w:ilvl w:val="1"/>
          <w:numId w:val="1"/>
        </w:numPr>
        <w:spacing w:line="276" w:lineRule="auto"/>
        <w:rPr>
          <w:rFonts w:ascii="Cambria" w:hAnsi="Cambria"/>
        </w:rPr>
      </w:pPr>
      <w:r w:rsidRPr="004B2CE8">
        <w:rPr>
          <w:rFonts w:ascii="Cambria" w:hAnsi="Cambria"/>
        </w:rPr>
        <w:t xml:space="preserve">Recruitment </w:t>
      </w:r>
    </w:p>
    <w:p w14:paraId="050A1C74" w14:textId="77777777" w:rsidR="00D40B1D" w:rsidRDefault="00864C31" w:rsidP="00977F5C">
      <w:pPr>
        <w:spacing w:line="276" w:lineRule="auto"/>
        <w:rPr>
          <w:rFonts w:ascii="Cambria" w:hAnsi="Cambria"/>
        </w:rPr>
      </w:pPr>
      <w:r>
        <w:rPr>
          <w:rFonts w:ascii="Cambria" w:hAnsi="Cambria"/>
        </w:rPr>
        <w:t xml:space="preserve">Volunteer recruitment occurred in July 2017, combing social media, the volunteer database and word of mouth, members for each group were recruited.  </w:t>
      </w:r>
    </w:p>
    <w:p w14:paraId="6FF24330" w14:textId="77777777" w:rsidR="009815F7" w:rsidRPr="004B2CE8" w:rsidRDefault="00441B32" w:rsidP="00977F5C">
      <w:pPr>
        <w:pStyle w:val="Subtitle"/>
        <w:numPr>
          <w:ilvl w:val="1"/>
          <w:numId w:val="1"/>
        </w:numPr>
        <w:spacing w:line="276" w:lineRule="auto"/>
        <w:rPr>
          <w:rFonts w:ascii="Cambria" w:hAnsi="Cambria"/>
        </w:rPr>
      </w:pPr>
      <w:r w:rsidRPr="004B2CE8">
        <w:rPr>
          <w:rFonts w:ascii="Cambria" w:hAnsi="Cambria"/>
        </w:rPr>
        <w:t>Knowledge and Information</w:t>
      </w:r>
    </w:p>
    <w:p w14:paraId="3C08795B" w14:textId="15755B89" w:rsidR="00441B32" w:rsidRPr="009D788E" w:rsidRDefault="009815F7" w:rsidP="00977F5C">
      <w:pPr>
        <w:spacing w:line="276" w:lineRule="auto"/>
        <w:rPr>
          <w:rFonts w:ascii="Cambria" w:hAnsi="Cambria"/>
        </w:rPr>
      </w:pPr>
      <w:r>
        <w:rPr>
          <w:rFonts w:ascii="Cambria" w:hAnsi="Cambria" w:cs="Times New Roman"/>
        </w:rPr>
        <w:t>Towards the start of the project, it was agreed to use minimal jargon when disseminating and discussing potential solutions and the project</w:t>
      </w:r>
      <w:r w:rsidR="000A2F84">
        <w:rPr>
          <w:rFonts w:ascii="Cambria" w:hAnsi="Cambria" w:cs="Times New Roman"/>
        </w:rPr>
        <w:t>’</w:t>
      </w:r>
      <w:r>
        <w:rPr>
          <w:rFonts w:ascii="Cambria" w:hAnsi="Cambria" w:cs="Times New Roman"/>
        </w:rPr>
        <w:t>s aim</w:t>
      </w:r>
      <w:r w:rsidR="000A2F84">
        <w:rPr>
          <w:rFonts w:ascii="Cambria" w:hAnsi="Cambria" w:cs="Times New Roman"/>
        </w:rPr>
        <w:t>s</w:t>
      </w:r>
      <w:r>
        <w:rPr>
          <w:rFonts w:ascii="Cambria" w:hAnsi="Cambria" w:cs="Times New Roman"/>
        </w:rPr>
        <w:t xml:space="preserve">. </w:t>
      </w:r>
      <w:r w:rsidR="000A2F84">
        <w:rPr>
          <w:rFonts w:ascii="Cambria" w:hAnsi="Cambria" w:cs="Times New Roman"/>
        </w:rPr>
        <w:t xml:space="preserve">For example </w:t>
      </w:r>
      <w:r>
        <w:rPr>
          <w:rFonts w:ascii="Cambria" w:hAnsi="Cambria" w:cs="Times New Roman"/>
        </w:rPr>
        <w:t xml:space="preserve">terms such as </w:t>
      </w:r>
      <w:r w:rsidR="000A2F84">
        <w:rPr>
          <w:rFonts w:ascii="Cambria" w:hAnsi="Cambria" w:cs="Times New Roman"/>
        </w:rPr>
        <w:t>‘rainscapes’ were used in place of ‘SuDS’.</w:t>
      </w:r>
      <w:r>
        <w:rPr>
          <w:rFonts w:ascii="Cambria" w:hAnsi="Cambria" w:cs="Times New Roman"/>
        </w:rPr>
        <w:t xml:space="preserve">, </w:t>
      </w:r>
      <w:r w:rsidR="009D788E">
        <w:rPr>
          <w:rFonts w:ascii="Cambria" w:hAnsi="Cambria"/>
        </w:rPr>
        <w:t>The groups</w:t>
      </w:r>
      <w:r w:rsidR="000A2F84">
        <w:rPr>
          <w:rFonts w:ascii="Cambria" w:hAnsi="Cambria"/>
        </w:rPr>
        <w:t>’</w:t>
      </w:r>
      <w:r w:rsidR="009D788E">
        <w:rPr>
          <w:rFonts w:ascii="Cambria" w:hAnsi="Cambria"/>
        </w:rPr>
        <w:t xml:space="preserve"> </w:t>
      </w:r>
      <w:r w:rsidR="00053E5F">
        <w:rPr>
          <w:rFonts w:ascii="Cambria" w:hAnsi="Cambria"/>
        </w:rPr>
        <w:t>produced catchment</w:t>
      </w:r>
      <w:r w:rsidR="009D788E">
        <w:rPr>
          <w:rFonts w:ascii="Cambria" w:hAnsi="Cambria"/>
        </w:rPr>
        <w:t xml:space="preserve"> maps to highlight local knowledge of </w:t>
      </w:r>
      <w:r w:rsidR="000A2F84">
        <w:rPr>
          <w:rFonts w:ascii="Cambria" w:hAnsi="Cambria"/>
        </w:rPr>
        <w:t>its</w:t>
      </w:r>
      <w:r w:rsidR="009D788E">
        <w:rPr>
          <w:rFonts w:ascii="Cambria" w:hAnsi="Cambria"/>
        </w:rPr>
        <w:t xml:space="preserve"> issues. Known incidents of pollution were mapped by participants, as well as a </w:t>
      </w:r>
      <w:r w:rsidR="00A26A90">
        <w:rPr>
          <w:rFonts w:ascii="Cambria" w:hAnsi="Cambria"/>
        </w:rPr>
        <w:t xml:space="preserve"> GIS</w:t>
      </w:r>
      <w:r w:rsidR="009D788E">
        <w:rPr>
          <w:rFonts w:ascii="Cambria" w:hAnsi="Cambria"/>
        </w:rPr>
        <w:t xml:space="preserve"> layer showcasing the sewer network in London provided by Thames Water. Publically available datasets such as the EA </w:t>
      </w:r>
      <w:r w:rsidR="00823050">
        <w:rPr>
          <w:rFonts w:ascii="Cambria" w:hAnsi="Cambria"/>
        </w:rPr>
        <w:t>++</w:t>
      </w:r>
      <w:r w:rsidR="005B390E">
        <w:rPr>
          <w:rFonts w:ascii="Cambria" w:hAnsi="Cambria"/>
        </w:rPr>
        <w:t xml:space="preserve"> </w:t>
      </w:r>
      <w:r w:rsidR="00A26A90">
        <w:rPr>
          <w:rFonts w:ascii="Cambria" w:hAnsi="Cambria"/>
        </w:rPr>
        <w:t>C</w:t>
      </w:r>
      <w:r w:rsidR="009D788E">
        <w:rPr>
          <w:rFonts w:ascii="Cambria" w:hAnsi="Cambria"/>
        </w:rPr>
        <w:t xml:space="preserve">atchment </w:t>
      </w:r>
      <w:r w:rsidR="00A26A90">
        <w:rPr>
          <w:rFonts w:ascii="Cambria" w:hAnsi="Cambria"/>
        </w:rPr>
        <w:t>D</w:t>
      </w:r>
      <w:r w:rsidR="009D788E">
        <w:rPr>
          <w:rFonts w:ascii="Cambria" w:hAnsi="Cambria"/>
        </w:rPr>
        <w:t xml:space="preserve">ata </w:t>
      </w:r>
      <w:r w:rsidR="00A26A90">
        <w:rPr>
          <w:rFonts w:ascii="Cambria" w:hAnsi="Cambria"/>
        </w:rPr>
        <w:t>E</w:t>
      </w:r>
      <w:r w:rsidR="009D788E">
        <w:rPr>
          <w:rFonts w:ascii="Cambria" w:hAnsi="Cambria"/>
        </w:rPr>
        <w:t xml:space="preserve">xplorer were demonstrated to the groups. </w:t>
      </w:r>
    </w:p>
    <w:p w14:paraId="2C2467B5" w14:textId="77777777" w:rsidR="009815F7" w:rsidRPr="004B2CE8" w:rsidRDefault="00441B32" w:rsidP="00977F5C">
      <w:pPr>
        <w:pStyle w:val="Subtitle"/>
        <w:numPr>
          <w:ilvl w:val="1"/>
          <w:numId w:val="1"/>
        </w:numPr>
        <w:spacing w:line="276" w:lineRule="auto"/>
        <w:rPr>
          <w:rFonts w:ascii="Cambria" w:hAnsi="Cambria"/>
        </w:rPr>
      </w:pPr>
      <w:r w:rsidRPr="004B2CE8">
        <w:rPr>
          <w:rFonts w:ascii="Cambria" w:hAnsi="Cambria"/>
        </w:rPr>
        <w:t xml:space="preserve">Project structure </w:t>
      </w:r>
    </w:p>
    <w:p w14:paraId="0BAB67D2" w14:textId="0ED516CF" w:rsidR="00D81406" w:rsidRPr="00D81406" w:rsidRDefault="00D81406" w:rsidP="00977F5C">
      <w:pPr>
        <w:spacing w:line="276" w:lineRule="auto"/>
        <w:rPr>
          <w:rFonts w:ascii="Cambria" w:hAnsi="Cambria"/>
        </w:rPr>
      </w:pPr>
      <w:r w:rsidRPr="00D81406">
        <w:rPr>
          <w:rFonts w:ascii="Cambria" w:hAnsi="Cambria"/>
        </w:rPr>
        <w:t xml:space="preserve">The three community groups met for their introductory meetings in a community venue; in </w:t>
      </w:r>
      <w:r w:rsidR="00864C31">
        <w:rPr>
          <w:rFonts w:ascii="Cambria" w:hAnsi="Cambria"/>
        </w:rPr>
        <w:t>all instances the local library</w:t>
      </w:r>
      <w:r w:rsidRPr="00D81406">
        <w:rPr>
          <w:rFonts w:ascii="Cambria" w:hAnsi="Cambria"/>
        </w:rPr>
        <w:t>. The overarching aim of the first meetings was to introduce the project, create a cohesive environment in which members could meet and establish relations, quell any issues or questions that could arise and finally to introduce the software. The groups were encouraged to take any material</w:t>
      </w:r>
      <w:r w:rsidR="00567EF6">
        <w:rPr>
          <w:rFonts w:ascii="Cambria" w:hAnsi="Cambria"/>
        </w:rPr>
        <w:t>,</w:t>
      </w:r>
      <w:r w:rsidRPr="00D81406">
        <w:rPr>
          <w:rFonts w:ascii="Cambria" w:hAnsi="Cambria"/>
        </w:rPr>
        <w:t xml:space="preserve"> in this instance maps and a copy of the software</w:t>
      </w:r>
      <w:r w:rsidR="00567EF6">
        <w:rPr>
          <w:rFonts w:ascii="Cambria" w:hAnsi="Cambria"/>
        </w:rPr>
        <w:t>,</w:t>
      </w:r>
      <w:r w:rsidRPr="00D81406">
        <w:rPr>
          <w:rFonts w:ascii="Cambria" w:hAnsi="Cambria"/>
        </w:rPr>
        <w:t xml:space="preserve"> away with them. </w:t>
      </w:r>
    </w:p>
    <w:p w14:paraId="49BA8754" w14:textId="77777777" w:rsidR="009D788E" w:rsidRDefault="00D81406" w:rsidP="00977F5C">
      <w:pPr>
        <w:spacing w:line="276" w:lineRule="auto"/>
        <w:rPr>
          <w:rFonts w:ascii="Cambria" w:hAnsi="Cambria"/>
        </w:rPr>
      </w:pPr>
      <w:r w:rsidRPr="00D81406">
        <w:rPr>
          <w:rFonts w:ascii="Cambria" w:hAnsi="Cambria"/>
        </w:rPr>
        <w:t>One main theme which arose from all the meetings was the necessity to gain a greater understanding of the catchments, in the form of a walk, and develop</w:t>
      </w:r>
      <w:r w:rsidR="00864C31">
        <w:rPr>
          <w:rFonts w:ascii="Cambria" w:hAnsi="Cambria"/>
        </w:rPr>
        <w:t xml:space="preserve"> a deeper understanding of potential solutions</w:t>
      </w:r>
      <w:r w:rsidRPr="00D81406">
        <w:rPr>
          <w:rFonts w:ascii="Cambria" w:hAnsi="Cambria"/>
        </w:rPr>
        <w:t xml:space="preserve"> and how they have been previously implemented into North London catchments; specifically the Borough of Enfield. </w:t>
      </w:r>
    </w:p>
    <w:p w14:paraId="13E68985" w14:textId="77777777" w:rsidR="009D788E" w:rsidRPr="009815F7" w:rsidRDefault="009D788E" w:rsidP="00977F5C">
      <w:pPr>
        <w:spacing w:line="276" w:lineRule="auto"/>
        <w:rPr>
          <w:rFonts w:ascii="Cambria" w:hAnsi="Cambria"/>
        </w:rPr>
      </w:pPr>
      <w:r>
        <w:rPr>
          <w:rFonts w:ascii="Cambria" w:hAnsi="Cambria"/>
        </w:rPr>
        <w:t xml:space="preserve">Monthly meetings were organised in which the groups could share knowledge, perform mapping exercises and interrogate the model to develop a range of scenarios which could be tested. </w:t>
      </w:r>
    </w:p>
    <w:p w14:paraId="0E366B4B" w14:textId="77777777" w:rsidR="00441B32" w:rsidRPr="004B2CE8" w:rsidRDefault="008B0D57" w:rsidP="00977F5C">
      <w:pPr>
        <w:pStyle w:val="Subtitle"/>
        <w:numPr>
          <w:ilvl w:val="1"/>
          <w:numId w:val="1"/>
        </w:numPr>
        <w:spacing w:line="276" w:lineRule="auto"/>
        <w:rPr>
          <w:rFonts w:ascii="Cambria" w:hAnsi="Cambria"/>
        </w:rPr>
      </w:pPr>
      <w:r>
        <w:rPr>
          <w:rFonts w:ascii="Cambria" w:hAnsi="Cambria"/>
        </w:rPr>
        <w:t xml:space="preserve">Walkovers and site visits </w:t>
      </w:r>
    </w:p>
    <w:p w14:paraId="58BEC3A8" w14:textId="77777777" w:rsidR="009815F7" w:rsidRPr="009815F7" w:rsidRDefault="00034BA7" w:rsidP="00977F5C">
      <w:pPr>
        <w:spacing w:line="276" w:lineRule="auto"/>
        <w:rPr>
          <w:rFonts w:ascii="Cambria" w:hAnsi="Cambria"/>
        </w:rPr>
      </w:pPr>
      <w:r>
        <w:rPr>
          <w:rFonts w:ascii="Cambria" w:hAnsi="Cambria"/>
        </w:rPr>
        <w:t xml:space="preserve">A </w:t>
      </w:r>
      <w:r w:rsidR="008B0D57">
        <w:rPr>
          <w:rFonts w:ascii="Cambria" w:hAnsi="Cambria"/>
        </w:rPr>
        <w:t>tour of previously completed constructed wetlands was undertaken to enable the groups to</w:t>
      </w:r>
      <w:r w:rsidR="009815F7" w:rsidRPr="009815F7">
        <w:rPr>
          <w:rFonts w:ascii="Cambria" w:hAnsi="Cambria"/>
        </w:rPr>
        <w:t xml:space="preserve"> witness first-hand what a constructed wetland and other features could look like. Three sites were chosen to show different aspects </w:t>
      </w:r>
      <w:r w:rsidR="00864C31">
        <w:rPr>
          <w:rFonts w:ascii="Cambria" w:hAnsi="Cambria"/>
        </w:rPr>
        <w:t>including, Firs Farm,</w:t>
      </w:r>
      <w:r w:rsidR="009815F7" w:rsidRPr="009815F7">
        <w:rPr>
          <w:rFonts w:ascii="Cambria" w:hAnsi="Cambria"/>
        </w:rPr>
        <w:t xml:space="preserve"> Houndsden Spinney </w:t>
      </w:r>
      <w:r w:rsidR="00864C31">
        <w:rPr>
          <w:rFonts w:ascii="Cambria" w:hAnsi="Cambria"/>
        </w:rPr>
        <w:t>and</w:t>
      </w:r>
      <w:r w:rsidR="009815F7" w:rsidRPr="009815F7">
        <w:rPr>
          <w:rFonts w:ascii="Cambria" w:hAnsi="Cambria"/>
        </w:rPr>
        <w:t xml:space="preserve">, Glenbrook. </w:t>
      </w:r>
    </w:p>
    <w:p w14:paraId="2964F2B4" w14:textId="303BE559" w:rsidR="00D81406" w:rsidRDefault="009815F7" w:rsidP="00977F5C">
      <w:pPr>
        <w:spacing w:line="276" w:lineRule="auto"/>
        <w:rPr>
          <w:rFonts w:ascii="Cambria" w:hAnsi="Cambria"/>
        </w:rPr>
      </w:pPr>
      <w:r>
        <w:rPr>
          <w:rFonts w:ascii="Cambria" w:hAnsi="Cambria"/>
        </w:rPr>
        <w:t xml:space="preserve">All three modelling groups took park in an introductory walkover of their catchment in October 2017. This walk familiarised the participants with each catchment, </w:t>
      </w:r>
      <w:r w:rsidR="00053E5F">
        <w:rPr>
          <w:rFonts w:ascii="Cambria" w:hAnsi="Cambria"/>
        </w:rPr>
        <w:t>demonstrating the</w:t>
      </w:r>
      <w:r>
        <w:rPr>
          <w:rFonts w:ascii="Cambria" w:hAnsi="Cambria"/>
        </w:rPr>
        <w:t xml:space="preserve"> constraints and areas in which solutions could be implemented. </w:t>
      </w:r>
      <w:r w:rsidRPr="009815F7">
        <w:rPr>
          <w:rFonts w:ascii="Cambria" w:hAnsi="Cambria"/>
        </w:rPr>
        <w:t xml:space="preserve"> </w:t>
      </w:r>
      <w:r>
        <w:rPr>
          <w:rFonts w:ascii="Cambria" w:hAnsi="Cambria"/>
        </w:rPr>
        <w:t>Many of the participants had a sense of affinity to certain areas which they frequented</w:t>
      </w:r>
      <w:r w:rsidR="00567EF6">
        <w:rPr>
          <w:rFonts w:ascii="Cambria" w:hAnsi="Cambria"/>
        </w:rPr>
        <w:t>;</w:t>
      </w:r>
      <w:r>
        <w:rPr>
          <w:rFonts w:ascii="Cambria" w:hAnsi="Cambria"/>
        </w:rPr>
        <w:t xml:space="preserve">, through walking the entire catchment the groups were shown new areas and developed their understanding of viewing a river as a connected catchment in which various stresses threaten </w:t>
      </w:r>
      <w:r w:rsidR="00567EF6">
        <w:rPr>
          <w:rFonts w:ascii="Cambria" w:hAnsi="Cambria"/>
        </w:rPr>
        <w:t xml:space="preserve">its overall </w:t>
      </w:r>
      <w:r>
        <w:rPr>
          <w:rFonts w:ascii="Cambria" w:hAnsi="Cambria"/>
        </w:rPr>
        <w:t xml:space="preserve">health. </w:t>
      </w:r>
      <w:r w:rsidRPr="009815F7">
        <w:rPr>
          <w:rFonts w:ascii="Cambria" w:hAnsi="Cambria"/>
        </w:rPr>
        <w:t>Whilst out on the walk</w:t>
      </w:r>
      <w:r>
        <w:rPr>
          <w:rFonts w:ascii="Cambria" w:hAnsi="Cambria"/>
        </w:rPr>
        <w:t>s</w:t>
      </w:r>
      <w:r w:rsidRPr="009815F7">
        <w:rPr>
          <w:rFonts w:ascii="Cambria" w:hAnsi="Cambria"/>
        </w:rPr>
        <w:t>, the</w:t>
      </w:r>
      <w:r>
        <w:rPr>
          <w:rFonts w:ascii="Cambria" w:hAnsi="Cambria"/>
        </w:rPr>
        <w:t xml:space="preserve"> participants could interact with the local community and ‘Friends of’ groups, exchanging ideas and increasing awareness of the </w:t>
      </w:r>
      <w:r w:rsidR="00567EF6">
        <w:rPr>
          <w:rFonts w:ascii="Cambria" w:hAnsi="Cambria"/>
        </w:rPr>
        <w:t>project</w:t>
      </w:r>
      <w:r>
        <w:rPr>
          <w:rFonts w:ascii="Cambria" w:hAnsi="Cambria"/>
        </w:rPr>
        <w:t>.</w:t>
      </w:r>
      <w:r w:rsidR="008B0D57">
        <w:rPr>
          <w:rFonts w:ascii="Cambria" w:hAnsi="Cambria"/>
        </w:rPr>
        <w:t xml:space="preserve"> Other potential projects were identified through scrutinising where Thames Water’s surface water sewers run under green</w:t>
      </w:r>
      <w:r w:rsidR="00567EF6">
        <w:rPr>
          <w:rFonts w:ascii="Cambria" w:hAnsi="Cambria"/>
        </w:rPr>
        <w:t xml:space="preserve"> </w:t>
      </w:r>
      <w:r w:rsidR="008B0D57">
        <w:rPr>
          <w:rFonts w:ascii="Cambria" w:hAnsi="Cambria"/>
        </w:rPr>
        <w:t>spaces.</w:t>
      </w:r>
    </w:p>
    <w:p w14:paraId="20BFA1BC" w14:textId="77777777" w:rsidR="00441B32" w:rsidRPr="005260E2" w:rsidRDefault="00034BA7" w:rsidP="00977F5C">
      <w:pPr>
        <w:spacing w:line="276" w:lineRule="auto"/>
        <w:rPr>
          <w:rFonts w:ascii="Cambria" w:hAnsi="Cambria"/>
        </w:rPr>
      </w:pPr>
      <w:r>
        <w:rPr>
          <w:rFonts w:ascii="Cambria" w:hAnsi="Cambria"/>
        </w:rPr>
        <w:lastRenderedPageBreak/>
        <w:t xml:space="preserve">Once potential areas across the catchments were suggested, the groups undertook site visits to scope out feasibility. </w:t>
      </w:r>
      <w:r w:rsidR="0041076D">
        <w:rPr>
          <w:rFonts w:ascii="Cambria" w:hAnsi="Cambria"/>
        </w:rPr>
        <w:t xml:space="preserve">Whilst undertaking site visits additional issues to the catchments were noticed, such as localised flooding. </w:t>
      </w:r>
    </w:p>
    <w:p w14:paraId="72AC6191" w14:textId="77777777" w:rsidR="00441B32" w:rsidRDefault="00441B32" w:rsidP="00977F5C">
      <w:pPr>
        <w:pStyle w:val="Heading1"/>
        <w:numPr>
          <w:ilvl w:val="0"/>
          <w:numId w:val="1"/>
        </w:numPr>
        <w:spacing w:line="276" w:lineRule="auto"/>
        <w:rPr>
          <w:color w:val="auto"/>
        </w:rPr>
      </w:pPr>
      <w:bookmarkStart w:id="4" w:name="_Toc517707821"/>
      <w:r>
        <w:rPr>
          <w:color w:val="auto"/>
        </w:rPr>
        <w:t>INCA</w:t>
      </w:r>
      <w:bookmarkEnd w:id="4"/>
      <w:r>
        <w:rPr>
          <w:color w:val="auto"/>
        </w:rPr>
        <w:t xml:space="preserve"> </w:t>
      </w:r>
    </w:p>
    <w:p w14:paraId="5A27E153" w14:textId="77777777" w:rsidR="00806F9C" w:rsidRPr="00806F9C" w:rsidRDefault="00806F9C" w:rsidP="00977F5C">
      <w:pPr>
        <w:spacing w:line="276" w:lineRule="auto"/>
        <w:rPr>
          <w:rFonts w:ascii="Cambria" w:hAnsi="Cambria"/>
        </w:rPr>
      </w:pPr>
    </w:p>
    <w:p w14:paraId="46FC0B7D" w14:textId="22FE246C" w:rsidR="00441B32" w:rsidRPr="005D49C4" w:rsidRDefault="00806F9C" w:rsidP="00977F5C">
      <w:pPr>
        <w:spacing w:line="276" w:lineRule="auto"/>
        <w:rPr>
          <w:rFonts w:ascii="Cambria" w:hAnsi="Cambria"/>
        </w:rPr>
      </w:pPr>
      <w:r w:rsidRPr="00806F9C">
        <w:rPr>
          <w:rFonts w:ascii="Cambria" w:hAnsi="Cambria"/>
        </w:rPr>
        <w:t xml:space="preserve">INCA is a semi-distributed process-based model which simulates the transformation of rainfall into runoff and the propagation of water through a river network </w:t>
      </w:r>
      <w:r w:rsidRPr="00806F9C">
        <w:rPr>
          <w:rFonts w:ascii="Cambria" w:hAnsi="Cambria"/>
        </w:rPr>
        <w:fldChar w:fldCharType="begin" w:fldLock="1"/>
      </w:r>
      <w:r w:rsidRPr="00806F9C">
        <w:rPr>
          <w:rFonts w:ascii="Cambria" w:hAnsi="Cambria"/>
        </w:rPr>
        <w:instrText>ADDIN CSL_CITATION { "citationItems" : [ { "id" : "ITEM-1", "itemData" : { "DOI" : "10.5194/hess-6-559-2002", "ISSN" : "1607-7938", "author" : [ { "dropping-particle" : "", "family" : "Wade", "given" : "A.J.", "non-dropping-particle" : "", "parse-names" : false, "suffix" : "" }, { "dropping-particle" : "", "family" : "Durand", "given" : "P.", "non-dropping-particle" : "", "parse-names" : false, "suffix" : "" }, { "dropping-particle" : "", "family" : "Beaujouan", "given" : "V.", "non-dropping-particle" : "", "parse-names" : false, "suffix" : "" }, { "dropping-particle" : "", "family" : "Wessel", "given" : "W. .", "non-dropping-particle" : "", "parse-names" : false, "suffix" : "" }, { "dropping-particle" : "", "family" : "Raat", "given" : "K.J.", "non-dropping-particle" : "", "parse-names" : false, "suffix" : "" }, { "dropping-particle" : "", "family" : "Whitehead", "given" : "P.G.", "non-dropping-particle" : "", "parse-names" : false, "suffix" : "" }, { "dropping-particle" : "", "family" : "Butterfield", "given" : "D.", "non-dropping-particle" : "", "parse-names" : false, "suffix" : "" }, { "dropping-particle" : "", "family" : "Rankinen", "given" : "K.", "non-dropping-particle" : "", "parse-names" : false, "suffix" : "" }, { "dropping-particle" : "", "family" : "Lepisto", "given" : "A.", "non-dropping-particle" : "", "parse-names" : false, "suffix" : "" } ], "container-title" : "Hydrology and Earth System Sciences", "id" : "ITEM-1", "issue" : "3", "issued" : { "date-parts" : [ [ "2002" ] ] }, "page" : "559-582", "title" : "A nitrogen model for European catchments: INCA, new model structure and equations", "type" : "article-journal", "volume" : "6" }, "uris" : [ "http://www.mendeley.com/documents/?uuid=7cb959d5-9844-4826-b6cc-54818d8affaf" ] } ], "mendeley" : { "formattedCitation" : "(Wade et al., 2002a)", "plainTextFormattedCitation" : "(Wade et al., 2002a)", "previouslyFormattedCitation" : "(Wade et al., 2002a)" }, "properties" : { "noteIndex" : 0 }, "schema" : "https://github.com/citation-style-language/schema/raw/master/csl-citation.json" }</w:instrText>
      </w:r>
      <w:r w:rsidRPr="00806F9C">
        <w:rPr>
          <w:rFonts w:ascii="Cambria" w:hAnsi="Cambria"/>
        </w:rPr>
        <w:fldChar w:fldCharType="separate"/>
      </w:r>
      <w:r w:rsidRPr="00806F9C">
        <w:rPr>
          <w:rFonts w:ascii="Cambria" w:hAnsi="Cambria"/>
        </w:rPr>
        <w:t>(Wade et al., 2002a)</w:t>
      </w:r>
      <w:r w:rsidRPr="00806F9C">
        <w:rPr>
          <w:rFonts w:ascii="Cambria" w:hAnsi="Cambria"/>
        </w:rPr>
        <w:fldChar w:fldCharType="end"/>
      </w:r>
      <w:r w:rsidRPr="00806F9C">
        <w:rPr>
          <w:rFonts w:ascii="Cambria" w:hAnsi="Cambria"/>
        </w:rPr>
        <w:t>. INCA uses weather data, land use</w:t>
      </w:r>
      <w:r w:rsidR="00567EF6">
        <w:rPr>
          <w:rFonts w:ascii="Cambria" w:hAnsi="Cambria"/>
        </w:rPr>
        <w:t xml:space="preserve"> data</w:t>
      </w:r>
      <w:r w:rsidRPr="00806F9C">
        <w:rPr>
          <w:rFonts w:ascii="Cambria" w:hAnsi="Cambria"/>
        </w:rPr>
        <w:t xml:space="preserve">, EA water quality observation data and </w:t>
      </w:r>
      <w:r w:rsidR="00053E5F" w:rsidRPr="00806F9C">
        <w:rPr>
          <w:rFonts w:ascii="Cambria" w:hAnsi="Cambria"/>
        </w:rPr>
        <w:t>river</w:t>
      </w:r>
      <w:r w:rsidRPr="00806F9C">
        <w:rPr>
          <w:rFonts w:ascii="Cambria" w:hAnsi="Cambria"/>
        </w:rPr>
        <w:t xml:space="preserve"> network </w:t>
      </w:r>
      <w:r w:rsidR="00567EF6">
        <w:rPr>
          <w:rFonts w:ascii="Cambria" w:hAnsi="Cambria"/>
        </w:rPr>
        <w:t xml:space="preserve">data </w:t>
      </w:r>
      <w:r w:rsidRPr="00806F9C">
        <w:rPr>
          <w:rFonts w:ascii="Cambria" w:hAnsi="Cambria"/>
        </w:rPr>
        <w:t xml:space="preserve">to simulate water quality in a catchment. Within the model various parameters can be changed to simulate different scenarios and the potential effects on water quality. </w:t>
      </w:r>
      <w:r w:rsidR="00567EF6">
        <w:rPr>
          <w:rFonts w:ascii="Cambria" w:hAnsi="Cambria"/>
        </w:rPr>
        <w:t>Numerous studies and articles</w:t>
      </w:r>
      <w:r w:rsidR="00567EF6" w:rsidRPr="00806F9C">
        <w:rPr>
          <w:rFonts w:ascii="Cambria" w:hAnsi="Cambria"/>
        </w:rPr>
        <w:t xml:space="preserve"> </w:t>
      </w:r>
      <w:r w:rsidRPr="00806F9C">
        <w:rPr>
          <w:rFonts w:ascii="Cambria" w:hAnsi="Cambria"/>
        </w:rPr>
        <w:t xml:space="preserve">regarding model conceptualisation and model application </w:t>
      </w:r>
      <w:r w:rsidR="00567EF6">
        <w:rPr>
          <w:rFonts w:ascii="Cambria" w:hAnsi="Cambria"/>
        </w:rPr>
        <w:t>are</w:t>
      </w:r>
      <w:r w:rsidR="00567EF6" w:rsidRPr="00806F9C">
        <w:rPr>
          <w:rFonts w:ascii="Cambria" w:hAnsi="Cambria"/>
        </w:rPr>
        <w:t xml:space="preserve"> </w:t>
      </w:r>
      <w:r w:rsidR="00567EF6">
        <w:rPr>
          <w:rFonts w:ascii="Cambria" w:hAnsi="Cambria"/>
        </w:rPr>
        <w:t>have been published</w:t>
      </w:r>
      <w:r w:rsidRPr="00806F9C">
        <w:rPr>
          <w:rFonts w:ascii="Cambria" w:hAnsi="Cambria"/>
        </w:rPr>
        <w:t xml:space="preserve">, for example </w:t>
      </w:r>
      <w:r w:rsidRPr="00806F9C">
        <w:rPr>
          <w:rFonts w:ascii="Cambria" w:hAnsi="Cambria"/>
        </w:rPr>
        <w:fldChar w:fldCharType="begin" w:fldLock="1"/>
      </w:r>
      <w:r w:rsidRPr="00806F9C">
        <w:rPr>
          <w:rFonts w:ascii="Cambria" w:hAnsi="Cambria"/>
        </w:rPr>
        <w:instrText>ADDIN CSL_CITATION { "citationItems" : [ { "id" : "ITEM-1", "itemData" : { "DOI" : "10.1016/S0048-9697(98)00038-2", "ISSN" : "00489697", "author" : [ { "dropping-particle" : "", "family" : "Whitehead", "given" : "P.G.", "non-dropping-particle" : "", "parse-names" : false, "suffix" : "" }, { "dropping-particle" : "", "family" : "Wilson", "given" : "E.", "non-dropping-particle" : "", "parse-names" : false, "suffix" : "" }, { "dropping-particle" : "", "family" : "Butterfield", "given" : "D.", "non-dropping-particle" : "", "parse-names" : false, "suffix" : "" }, { "dropping-particle" : "", "family" : "Seed", "given" : "K.", "non-dropping-particle" : "", "parse-names" : false, "suffix" : "" } ], "container-title" : "Science of The Total Environment", "id" : "ITEM-1", "issued" : { "date-parts" : [ [ "1998", "3", "24" ] ] }, "page" : "559-583", "title" : "A semi-distributed integrated flow and nitrogen model for multiple source assessment in catchments (INCA): Part II \u2014 application to large river basins in south Wales and eastern England", "type" : "article-journal", "volume" : "210-211" }, "uris" : [ "http://www.mendeley.com/documents/?uuid=e7ad7ad7-b0bb-4c26-9f3d-3de2c8d0577a" ] } ], "mendeley" : { "formattedCitation" : "(Whitehead et al., 1998b)", "manualFormatting" : "Whitehead et al. (1998)", "plainTextFormattedCitation" : "(Whitehead et al., 1998b)", "previouslyFormattedCitation" : "(Whitehead et al., 1998b)" }, "properties" : { "noteIndex" : 0 }, "schema" : "https://github.com/citation-style-language/schema/raw/master/csl-citation.json" }</w:instrText>
      </w:r>
      <w:r w:rsidRPr="00806F9C">
        <w:rPr>
          <w:rFonts w:ascii="Cambria" w:hAnsi="Cambria"/>
        </w:rPr>
        <w:fldChar w:fldCharType="separate"/>
      </w:r>
      <w:r w:rsidRPr="00806F9C">
        <w:rPr>
          <w:rFonts w:ascii="Cambria" w:hAnsi="Cambria"/>
        </w:rPr>
        <w:t>Whitehead et al. (1998)</w:t>
      </w:r>
      <w:r w:rsidRPr="00806F9C">
        <w:rPr>
          <w:rFonts w:ascii="Cambria" w:hAnsi="Cambria"/>
        </w:rPr>
        <w:fldChar w:fldCharType="end"/>
      </w:r>
      <w:r w:rsidRPr="00806F9C">
        <w:rPr>
          <w:rFonts w:ascii="Cambria" w:hAnsi="Cambria"/>
        </w:rPr>
        <w:t xml:space="preserve"> who presents model structure, </w:t>
      </w:r>
      <w:r w:rsidRPr="00806F9C">
        <w:rPr>
          <w:rFonts w:ascii="Cambria" w:hAnsi="Cambria"/>
        </w:rPr>
        <w:fldChar w:fldCharType="begin" w:fldLock="1"/>
      </w:r>
      <w:r w:rsidRPr="00806F9C">
        <w:rPr>
          <w:rFonts w:ascii="Cambria" w:hAnsi="Cambria"/>
        </w:rPr>
        <w:instrText>ADDIN CSL_CITATION { "citationItems" : [ { "id" : "ITEM-1", "itemData" : { "DOI" : "10.5194/hess-6-559-2002", "ISSN" : "1607-7938", "author" : [ { "dropping-particle" : "", "family" : "Wade", "given" : "A.J.", "non-dropping-particle" : "", "parse-names" : false, "suffix" : "" }, { "dropping-particle" : "", "family" : "Durand", "given" : "P.", "non-dropping-particle" : "", "parse-names" : false, "suffix" : "" }, { "dropping-particle" : "", "family" : "Beaujouan", "given" : "V.", "non-dropping-particle" : "", "parse-names" : false, "suffix" : "" }, { "dropping-particle" : "", "family" : "Wessel", "given" : "W. .", "non-dropping-particle" : "", "parse-names" : false, "suffix" : "" }, { "dropping-particle" : "", "family" : "Raat", "given" : "K.J.", "non-dropping-particle" : "", "parse-names" : false, "suffix" : "" }, { "dropping-particle" : "", "family" : "Whitehead", "given" : "P.G.", "non-dropping-particle" : "", "parse-names" : false, "suffix" : "" }, { "dropping-particle" : "", "family" : "Butterfield", "given" : "D.", "non-dropping-particle" : "", "parse-names" : false, "suffix" : "" }, { "dropping-particle" : "", "family" : "Rankinen", "given" : "K.", "non-dropping-particle" : "", "parse-names" : false, "suffix" : "" }, { "dropping-particle" : "", "family" : "Lepisto", "given" : "A.", "non-dropping-particle" : "", "parse-names" : false, "suffix" : "" } ], "container-title" : "Hydrology and Earth System Sciences", "id" : "ITEM-1", "issue" : "3", "issued" : { "date-parts" : [ [ "2002" ] ] }, "page" : "559-582", "title" : "A nitrogen model for European catchments: INCA, new model structure and equations", "type" : "article-journal", "volume" : "6" }, "uris" : [ "http://www.mendeley.com/documents/?uuid=7cb959d5-9844-4826-b6cc-54818d8affaf" ] } ], "mendeley" : { "formattedCitation" : "(Wade et al., 2002a)", "manualFormatting" : "Wade et al. (2002a)", "plainTextFormattedCitation" : "(Wade et al., 2002a)", "previouslyFormattedCitation" : "(Wade et al., 2002a)" }, "properties" : { "noteIndex" : 0 }, "schema" : "https://github.com/citation-style-language/schema/raw/master/csl-citation.json" }</w:instrText>
      </w:r>
      <w:r w:rsidRPr="00806F9C">
        <w:rPr>
          <w:rFonts w:ascii="Cambria" w:hAnsi="Cambria"/>
        </w:rPr>
        <w:fldChar w:fldCharType="separate"/>
      </w:r>
      <w:r w:rsidRPr="00806F9C">
        <w:rPr>
          <w:rFonts w:ascii="Cambria" w:hAnsi="Cambria"/>
        </w:rPr>
        <w:t>Wade et al. (2002a)</w:t>
      </w:r>
      <w:r w:rsidRPr="00806F9C">
        <w:rPr>
          <w:rFonts w:ascii="Cambria" w:hAnsi="Cambria"/>
        </w:rPr>
        <w:fldChar w:fldCharType="end"/>
      </w:r>
      <w:r w:rsidRPr="00806F9C">
        <w:rPr>
          <w:rFonts w:ascii="Cambria" w:hAnsi="Cambria"/>
        </w:rPr>
        <w:t xml:space="preserve"> who described some modifications to the INCA-N structure, </w:t>
      </w:r>
      <w:r w:rsidRPr="00806F9C">
        <w:rPr>
          <w:rFonts w:ascii="Cambria" w:hAnsi="Cambria"/>
        </w:rPr>
        <w:fldChar w:fldCharType="begin" w:fldLock="1"/>
      </w:r>
      <w:r w:rsidRPr="00806F9C">
        <w:rPr>
          <w:rFonts w:ascii="Cambria" w:hAnsi="Cambria"/>
        </w:rPr>
        <w:instrText>ADDIN CSL_CITATION { "citationItems" : [ { "id" : "ITEM-1", "itemData" : { "DOI" : "10.5194/hess-6-583-2002", "author" : [ { "dropping-particle" : "", "family" : "Wade", "given" : "A.J.", "non-dropping-particle" : "", "parse-names" : false, "suffix" : "" }, { "dropping-particle" : "", "family" : "Whitehead", "given" : "P.G.", "non-dropping-particle" : "", "parse-names" : false, "suffix" : "" }, { "dropping-particle" : "", "family" : "Butterfield", "given" : "D.", "non-dropping-particle" : "", "parse-names" : false, "suffix" : "" } ], "container-title" : "Hydrology and Earth System Sciences", "id" : "ITEM-1", "issue" : "3", "issued" : { "date-parts" : [ [ "2002" ] ] }, "page" : "583-606", "title" : "The Integrated Catchments model of Phosphorus dynamics (INCA-P), a new approach for multiple source assessment in heterogeneous river systems: model structure and equations", "type" : "article", "volume" : "6" }, "uris" : [ "http://www.mendeley.com/documents/?uuid=0f44b846-5f8a-4f3d-becd-a2059bf6f59d" ] } ], "mendeley" : { "formattedCitation" : "(Wade et al., 2002b)", "manualFormatting" : "Wade et al. (2002b)", "plainTextFormattedCitation" : "(Wade et al., 2002b)", "previouslyFormattedCitation" : "(Wade et al., 2002b)" }, "properties" : { "noteIndex" : 0 }, "schema" : "https://github.com/citation-style-language/schema/raw/master/csl-citation.json" }</w:instrText>
      </w:r>
      <w:r w:rsidRPr="00806F9C">
        <w:rPr>
          <w:rFonts w:ascii="Cambria" w:hAnsi="Cambria"/>
        </w:rPr>
        <w:fldChar w:fldCharType="separate"/>
      </w:r>
      <w:r w:rsidRPr="00806F9C">
        <w:rPr>
          <w:rFonts w:ascii="Cambria" w:hAnsi="Cambria"/>
        </w:rPr>
        <w:t>Wade et al. (2002b)</w:t>
      </w:r>
      <w:r w:rsidRPr="00806F9C">
        <w:rPr>
          <w:rFonts w:ascii="Cambria" w:hAnsi="Cambria"/>
        </w:rPr>
        <w:fldChar w:fldCharType="end"/>
      </w:r>
      <w:r w:rsidRPr="00806F9C">
        <w:rPr>
          <w:rFonts w:ascii="Cambria" w:hAnsi="Cambria"/>
        </w:rPr>
        <w:t xml:space="preserve">, who presented the INCA-P model structure, and </w:t>
      </w:r>
      <w:r w:rsidRPr="00806F9C">
        <w:rPr>
          <w:rFonts w:ascii="Cambria" w:hAnsi="Cambria"/>
        </w:rPr>
        <w:fldChar w:fldCharType="begin" w:fldLock="1"/>
      </w:r>
      <w:r w:rsidRPr="00806F9C">
        <w:rPr>
          <w:rFonts w:ascii="Cambria" w:hAnsi="Cambria"/>
        </w:rPr>
        <w:instrText>ADDIN CSL_CITATION { "citationItems" : [ { "id" : "ITEM-1", "itemData" : { "DOI" : "10.1016/j.scitotenv.2010.02.030", "author" : [ { "dropping-particle" : "", "family" : "L\u00e1z\u00e1r", "given" : "A.N.", "non-dropping-particle" : "", "parse-names" : false, "suffix" : "" }, { "dropping-particle" : "", "family" : "Butterfield", "given" : "D.", "non-dropping-particle" : "", "parse-names" : false, "suffix" : "" }, { "dropping-particle" : "", "family" : "Futter", "given" : "M.N.", "non-dropping-particle" : "", "parse-names" : false, "suffix" : "" }, { "dropping-particle" : "", "family" : "Rankinen", "given" : "K.", "non-dropping-particle" : "", "parse-names" : false, "suffix" : "" }, { "dropping-particle" : "", "family" : "Thouvenot-Korppoo", "given" : "M.", "non-dropping-particle" : "", "parse-names" : false, "suffix" : "" }, { "dropping-particle" : "", "family" : "Jarritt", "given" : "N.P.", "non-dropping-particle" : "", "parse-names" : false, "suffix" : "" }, { "dropping-particle" : "", "family" : "Lawrence", "given" : "D.S.L.", "non-dropping-particle" : "", "parse-names" : false, "suffix" : "" }, { "dropping-particle" : "", "family" : "Wade", "given" : "A.J.", "non-dropping-particle" : "", "parse-names" : false, "suffix" : "" }, { "dropping-particle" : "", "family" : "Whitehead", "given" : "P.G.", "non-dropping-particle" : "", "parse-names" : false, "suffix" : "" } ], "container-title" : "Science of the Total Environment", "id" : "ITEM-1", "issue" : "12", "issued" : { "date-parts" : [ [ "2010" ] ] }, "page" : "2555-2566", "title" : "An assessment of the fine sediment dynamics in an upland river system: INCA-Sed modifications and implications for fisheries", "type" : "article-journal", "volume" : "408" }, "uris" : [ "http://www.mendeley.com/documents/?uuid=a06df9e9-99a5-458a-8484-4e7fabf6aec7" ] } ], "mendeley" : { "formattedCitation" : "(L\u00e1z\u00e1r et al., 2010)", "manualFormatting" : "L\u00e1z\u00e1r et al. (2010)", "plainTextFormattedCitation" : "(L\u00e1z\u00e1r et al., 2010)", "previouslyFormattedCitation" : "(L\u00e1z\u00e1r et al., 2010)" }, "properties" : { "noteIndex" : 0 }, "schema" : "https://github.com/citation-style-language/schema/raw/master/csl-citation.json" }</w:instrText>
      </w:r>
      <w:r w:rsidRPr="00806F9C">
        <w:rPr>
          <w:rFonts w:ascii="Cambria" w:hAnsi="Cambria"/>
        </w:rPr>
        <w:fldChar w:fldCharType="separate"/>
      </w:r>
      <w:r w:rsidRPr="00806F9C">
        <w:rPr>
          <w:rFonts w:ascii="Cambria" w:hAnsi="Cambria"/>
        </w:rPr>
        <w:t>Lázár et al. (2010)</w:t>
      </w:r>
      <w:r w:rsidRPr="00806F9C">
        <w:rPr>
          <w:rFonts w:ascii="Cambria" w:hAnsi="Cambria"/>
        </w:rPr>
        <w:fldChar w:fldCharType="end"/>
      </w:r>
      <w:r w:rsidRPr="00806F9C">
        <w:rPr>
          <w:rFonts w:ascii="Cambria" w:hAnsi="Cambria"/>
        </w:rPr>
        <w:t xml:space="preserve">, who described the INCA-Sediment model structure. The hydrological and water quality sub-models of INCA have been applied to several basins across the UK and Europe, and, in particular, to the River Thames catchment </w:t>
      </w:r>
      <w:r w:rsidRPr="00806F9C">
        <w:rPr>
          <w:rFonts w:ascii="Cambria" w:hAnsi="Cambria"/>
        </w:rPr>
        <w:fldChar w:fldCharType="begin" w:fldLock="1"/>
      </w:r>
      <w:r w:rsidRPr="00806F9C">
        <w:rPr>
          <w:rFonts w:ascii="Cambria" w:hAnsi="Cambria"/>
        </w:rPr>
        <w:instrText>ADDIN CSL_CITATION { "citationItems" : [ { "id" : "ITEM-1", "itemData" : { "DOI" : "10.1016/j.scitotenv.2013.02.033", "ISSN" : "1879-1026", "author" : [ { "dropping-particle" : "", "family" : "Crossman", "given" : "J.", "non-dropping-particle" : "", "parse-names" : false, "suffix" : "" }, { "dropping-particle" : "", "family" : "Whitehead", "given" : "P.G.", "non-dropping-particle" : "", "parse-names" : false, "suffix" : "" }, { "dropping-particle" : "", "family" : "Futter", "given" : "M.N.", "non-dropping-particle" : "", "parse-names" : false, "suffix" : "" }, { "dropping-particle" : "", "family" : "Jin", "given" : "L.", "non-dropping-particle" : "", "parse-names" : false, "suffix" : "" }, { "dropping-particle" : "", "family" : "Shahgedanova", "given" : "M.", "non-dropping-particle" : "", "parse-names" : false, "suffix" : "" }, { "dropping-particle" : "", "family" : "Castellazzi", "given" : "M.S.", "non-dropping-particle" : "", "parse-names" : false, "suffix" : "" }, { "dropping-particle" : "", "family" : "Wade", "given" : "A.J.", "non-dropping-particle" : "", "parse-names" : false, "suffix" : "" } ], "container-title" : "Science of the Total Environment", "id" : "ITEM-1", "issued" : { "date-parts" : [ [ "2013", "6", "1" ] ] }, "page" : "230-44", "title" : "The interactive responses of water quality and hydrology to changes in multiple stressors, and implications for the long-term effective management of phosphorus.", "type" : "article-journal", "volume" : "454-455" }, "uris" : [ "http://www.mendeley.com/documents/?uuid=9a697a83-0fce-48b3-907c-4951c29b69e7" ] }, { "id" : "ITEM-2", "itemData" : { "DOI" : "10.2166/nh.2011.080", "author" : [ { "dropping-particle" : "", "family" : "Jin", "given" : "L.", "non-dropping-particle" : "", "parse-names" : false, "suffix" : "" }, { "dropping-particle" : "", "family" : "Whitehead", "given" : "P.G.", "non-dropping-particle" : "", "parse-names" : false, "suffix" : "" }, { "dropping-particle" : "", "family" : "Futter", "given" : "M.N.", "non-dropping-particle" : "", "parse-names" : false, "suffix" : "" }, { "dropping-particle" : "", "family" : "Lu", "given" : "Z.", "non-dropping-particle" : "", "parse-names" : false, "suffix" : "" } ], "container-title" : "Hydrology Research", "id" : "ITEM-2", "issue" : "6", "issued" : { "date-parts" : [ [ "2012" ] ] }, "page" : "902-916", "title" : "Modelling the impacts of climate change on flow and nitrate in the River Thames: assessing potential adaptation strategies", "type" : "article-journal", "volume" : "43" }, "uris" : [ "http://www.mendeley.com/documents/?uuid=1683110b-7394-4d60-88bc-f57c0f0fb868" ] }, { "id" : "ITEM-3", "itemData" : { "DOI" : "10.1098/rsta.2012.0413", "ISSN" : "1364-503X", "PMID" : "24080622", "author" : [ { "dropping-particle" : "", "family" : "Whitehead", "given" : "P.G.", "non-dropping-particle" : "", "parse-names" : false, "suffix" : "" }, { "dropping-particle" : "", "family" : "Crossman", "given" : "J.", "non-dropping-particle" : "", "parse-names" : false, "suffix" : "" }, { "dropping-particle" : "", "family" : "Balana", "given" : "B.B.", "non-dropping-particle" : "", "parse-names" : false, "suffix" : "" }, { "dropping-particle" : "", "family" : "Futter", "given" : "M.N.", "non-dropping-particle" : "", "parse-names" : false, "suffix" : "" }, { "dropping-particle" : "", "family" : "Comber", "given" : "S.", "non-dropping-particle" : "", "parse-names" : false, "suffix" : "" }, { "dropping-particle" : "", "family" : "Jin", "given" : "L.", "non-dropping-particle" : "", "parse-names" : false, "suffix" : "" }, { "dropping-particle" : "", "family" : "Skuras", "given" : "D.", "non-dropping-particle" : "", "parse-names" : false, "suffix" : "" }, { "dropping-particle" : "", "family" : "Wade", "given" : "A.J.", "non-dropping-particle" : "", "parse-names" : false, "suffix" : "" }, { "dropping-particle" : "", "family" : "Bowes", "given" : "M.J.", "non-dropping-particle" : "", "parse-names" : false, "suffix" : "" }, { "dropping-particle" : "", "family" : "Read", "given" : "D.S.", "non-dropping-particle" : "", "parse-names" : false, "suffix" : "" } ], "container-title" : "Philosophical transactions. Series A, Mathematical, physical, and engineering sciences", "id" : "ITEM-3", "issue" : "2002", "issued" : { "date-parts" : [ [ "2013", "11", "13" ] ] }, "page" : "20120413", "title" : "A cost-effectiveness analysis of water security and water quality: impacts of climate and land-use change on the River Thames system.", "type" : "article-journal", "volume" : "371" }, "uris" : [ "http://www.mendeley.com/documents/?uuid=d5d66484-b9a6-4e7c-818a-99c5e398a4e1" ] }, { "id" : "ITEM-4", "itemData" : { "DOI" : "10.1016/j.scitotenv.2016.01.128", "author" : [ { "dropping-particle" : "", "family" : "Whitehead", "given" : "P. G.", "non-dropping-particle" : "", "parse-names" : false, "suffix" : "" }, { "dropping-particle" : "", "family" : "Leckie", "given" : "H.", "non-dropping-particle" : "", "parse-names" : false, "suffix" : "" }, { "dropping-particle" : "", "family" : "Rankinen", "given" : "K.", "non-dropping-particle" : "", "parse-names" : false, "suffix" : "" }, { "dropping-particle" : "", "family" : "Butterfield", "given" : "D.", "non-dropping-particle" : "", "parse-names" : false, "suffix" : "" }, { "dropping-particle" : "", "family" : "Futter", "given" : "M. N.", "non-dropping-particle" : "", "parse-names" : false, "suffix" : "" }, { "dropping-particle" : "", "family" : "Bussi", "given" : "G.", "non-dropping-particle" : "", "parse-names" : false, "suffix" : "" } ], "container-title" : "Science of the Total Environment", "id" : "ITEM-4", "issued" : { "date-parts" : [ [ "2016" ] ] }, "page" : "1601-1610", "title" : "An INCA model for pathogens in rivers and catchments: Model structure, sensitivity analysis and application to the River Thames catchment, UK", "type" : "article-journal", "volume" : "572" }, "uris" : [ "http://www.mendeley.com/documents/?uuid=953a0d94-c578-4ddf-82f1-2930630c1ae6" ] }, { "id" : "ITEM-5", "itemData" : { "DOI" : "10.1016/j.scitotenv.2016.02.109", "ISSN" : "00489697", "author" : [ { "dropping-particle" : "", "family" : "Bussi", "given" : "G.", "non-dropping-particle" : "", "parse-names" : false, "suffix" : "" }, { "dropping-particle" : "", "family" : "Whitehead", "given" : "P.G.", "non-dropping-particle" : "", "parse-names" : false, "suffix" : "" }, { "dropping-particle" : "", "family" : "Bowes", "given" : "M.J.", "non-dropping-particle" : "", "parse-names" : false, "suffix" : "" }, { "dropping-particle" : "", "family" : "Read", "given" : "D.S.", "non-dropping-particle" : "", "parse-names" : false, "suffix" : "" }, { "dropping-particle" : "", "family" : "Prudhomme", "given" : "C.", "non-dropping-particle" : "", "parse-names" : false, "suffix" : "" }, { "dropping-particle" : "", "family" : "Dadson", "given" : "S.J.", "non-dropping-particle" : "", "parse-names" : false, "suffix" : "" } ], "container-title" : "Science of the Total Environment", "id" : "ITEM-5", "issued" : { "date-parts" : [ [ "2016" ] ] }, "page" : "1507-1519", "title" : "Impacts of climate change, land-use change and phosphorus reduction on phytoplankton in the River Thames (UK)", "type" : "article-journal", "volume" : "572" }, "uris" : [ "http://www.mendeley.com/documents/?uuid=1f90e310-320e-44ee-aed9-ce07d9b171a2" ] }, { "id" : "ITEM-6", "itemData" : { "DOI" : "10.1016/j.scitotenv.2016.03.029", "author" : [ { "dropping-particle" : "", "family" : "Lu", "given" : "Q", "non-dropping-particle" : "", "parse-names" : false, "suffix" : "" }, { "dropping-particle" : "", "family" : "Futter", "given" : "M.N.", "non-dropping-particle" : "", "parse-names" : false, "suffix" : "" }, { "dropping-particle" : "", "family" : "Nizzetto", "given" : "L.", "non-dropping-particle" : "", "parse-names" : false, "suffix" : "" }, { "dropping-particle" : "", "family" : "Bussi", "given" : "G.", "non-dropping-particle" : "", "parse-names" : false, "suffix" : "" }, { "dropping-particle" : "", "family" : "J\u00fcrgens", "given" : "M.D.", "non-dropping-particle" : "", "parse-names" : false, "suffix" : "" }, { "dropping-particle" : "", "family" : "Whitehead", "given" : "P.G", "non-dropping-particle" : "", "parse-names" : false, "suffix" : "" } ], "container-title" : "Science of the Total Environment", "id" : "ITEM-6", "issued" : { "date-parts" : [ [ "2016" ] ] }, "page" : "1461-1470", "title" : "Fate and Transport of Polychlorinated Biphenyls (PCBs) in the River Thames Catchment \u2013 Insights from a Coupled Multimedia Fate and Hydrobiogeochemical Transport Model", "type" : "article-journal", "volume" : "572" }, "uris" : [ "http://www.mendeley.com/documents/?uuid=a847e630-87ba-4738-936a-5e3077c57faf" ] }, { "id" : "ITEM-7", "itemData" : { "DOI" : "10.1016/j.jhydrol.2016.09.010", "author" : [ { "dropping-particle" : "", "family" : "Bussi", "given" : "G.", "non-dropping-particle" : "", "parse-names" : false, "suffix" : "" }, { "dropping-particle" : "", "family" : "Dadson", "given" : "S.J.", "non-dropping-particle" : "", "parse-names" : false, "suffix" : "" }, { "dropping-particle" : "", "family" : "Whitehead", "given" : "P.G.", "non-dropping-particle" : "", "parse-names" : false, "suffix" : "" }, { "dropping-particle" : "", "family" : "Prudhomme", "given" : "C.", "non-dropping-particle" : "", "parse-names" : false, "suffix" : "" } ], "container-title" : "Journal of Hydrology", "id" : "ITEM-7", "issued" : { "date-parts" : [ [ "2016" ] ] }, "page" : "357-372", "title" : "Modelling the future impacts of climate and land-use change on suspended sediment transport in the River Thames (UK)", "type" : "article-journal", "volume" : "542" }, "uris" : [ "http://www.mendeley.com/documents/?uuid=eb7ff50b-7744-4000-91dd-dcc088bfc49d" ] }, { "id" : "ITEM-8", "itemData" : { "DOI" : "10.1016/j.scitotenv.2017.03.069", "ISSN" : "00489697", "author" : [ { "dropping-particle" : "", "family" : "Bussi", "given" : "G.", "non-dropping-particle" : "", "parse-names" : false, "suffix" : "" }, { "dropping-particle" : "", "family" : "Janes", "given" : "V.", "non-dropping-particle" : "", "parse-names" : false, "suffix" : "" }, { "dropping-particle" : "", "family" : "Whitehead", "given" : "P.G.", "non-dropping-particle" : "", "parse-names" : false, "suffix" : "" }, { "dropping-particle" : "", "family" : "Dadson", "given" : "S.J.", "non-dropping-particle" : "", "parse-names" : false, "suffix" : "" }, { "dropping-particle" : "", "family" : "Holman", "given" : "I.P.", "non-dropping-particle" : "", "parse-names" : false, "suffix" : "" } ], "container-title" : "Science of The Total Environment", "id" : "ITEM-8", "issued" : { "date-parts" : [ [ "2017", "7" ] ] }, "page" : "818-831", "title" : "Dynamic response of land use and river nutrient concentration to long-term climatic changes", "type" : "article-journal", "volume" : "590-591" }, "uris" : [ "http://www.mendeley.com/documents/?uuid=483d2369-dfde-4022-824c-28fe0a78e320" ] } ], "mendeley" : { "formattedCitation" : "(Bussi et al., 2017, 2016a, 2016b; Crossman et al., 2013; Jin et al., 2012; Lu et al., 2016; Whitehead et al., 2016, 2013)", "plainTextFormattedCitation" : "(Bussi et al., 2017, 2016a, 2016b; Crossman et al., 2013; Jin et al., 2012; Lu et al., 2016; Whitehead et al., 2016, 2013)", "previouslyFormattedCitation" : "(Bussi et al., 2017, 2016a, 2016b; Crossman et al., 2013; Jin et al., 2012; Lu et al., 2016; Whitehead et al., 2016, 2013)" }, "properties" : { "noteIndex" : 0 }, "schema" : "https://github.com/citation-style-language/schema/raw/master/csl-citation.json" }</w:instrText>
      </w:r>
      <w:r w:rsidRPr="00806F9C">
        <w:rPr>
          <w:rFonts w:ascii="Cambria" w:hAnsi="Cambria"/>
        </w:rPr>
        <w:fldChar w:fldCharType="separate"/>
      </w:r>
      <w:r w:rsidRPr="00806F9C">
        <w:rPr>
          <w:rFonts w:ascii="Cambria" w:hAnsi="Cambria"/>
        </w:rPr>
        <w:t>(Bussi et al., 2017, 2016a, 2016b; Crossman et al., 2013; Jin et al., 2012; Lu et al., 2016; Whitehead et al., 2016, 2013)</w:t>
      </w:r>
      <w:r w:rsidRPr="00806F9C">
        <w:rPr>
          <w:rFonts w:ascii="Cambria" w:hAnsi="Cambria"/>
        </w:rPr>
        <w:fldChar w:fldCharType="end"/>
      </w:r>
      <w:r w:rsidRPr="00806F9C">
        <w:rPr>
          <w:rFonts w:ascii="Cambria" w:hAnsi="Cambria"/>
        </w:rPr>
        <w:t xml:space="preserve"> and the River Lee catchment </w:t>
      </w:r>
      <w:r w:rsidRPr="00806F9C">
        <w:rPr>
          <w:rFonts w:ascii="Cambria" w:hAnsi="Cambria"/>
        </w:rPr>
        <w:fldChar w:fldCharType="begin" w:fldLock="1"/>
      </w:r>
      <w:r w:rsidRPr="00806F9C">
        <w:rPr>
          <w:rFonts w:ascii="Cambria" w:hAnsi="Cambria"/>
        </w:rPr>
        <w:instrText>ADDIN CSL_CITATION { "citationItems" : [ { "id" : "ITEM-1", "itemData" : { "DOI" : "10.5194/hess-6-467-2002", "ISSN" : "1607-7938", "author" : [ { "dropping-particle" : "", "family" : "Flynn", "given" : "N.J.", "non-dropping-particle" : "", "parse-names" : false, "suffix" : "" }, { "dropping-particle" : "", "family" : "Paddison", "given" : "T.", "non-dropping-particle" : "", "parse-names" : false, "suffix" : "" }, { "dropping-particle" : "", "family" : "Whitehead", "given" : "P.G.", "non-dropping-particle" : "", "parse-names" : false, "suffix" : "" } ], "container-title" : "Hydrology and Earth System Sciences", "id" : "ITEM-1", "issue" : "3", "issued" : { "date-parts" : [ [ "2002" ] ] }, "note" : "From Duplicate 1 (INCA Modelling of the Lee System: strategies for the reduction of nitrogen loads - Flynn, N.J.; Paddison, T.; Whitehead, P.G.)\n\nNULL", "page" : "467-484", "title" : "INCA Modelling of the Lee System: strategies for the reduction of nitrogen loads", "type" : "article-journal", "volume" : "6" }, "uris" : [ "http://www.mendeley.com/documents/?uuid=579ec699-bd40-458c-8e10-b0c4c170da4a" ] }, { "id" : "ITEM-2", "itemData" : { "DOI" : "10.5194/hess-8-636-2004", "ISSN" : "1607-7938", "author" : [ { "dropping-particle" : "", "family" : "Snook", "given" : "D.L.", "non-dropping-particle" : "", "parse-names" : false, "suffix" : "" }, { "dropping-particle" : "", "family" : "Whitehead", "given" : "P.G.", "non-dropping-particle" : "", "parse-names" : false, "suffix" : "" } ], "container-title" : "Hydrology and Earth System Sciences", "id" : "ITEM-2", "issue" : "4", "issued" : { "date-parts" : [ [ "2004" ] ] }, "page" : "636-650", "title" : "Water quality and ecology of the River Lee: mass balance and a review of temporal and spatial data", "type" : "article-journal", "volume" : "8" }, "uris" : [ "http://www.mendeley.com/documents/?uuid=ebace077-a9db-4ba5-885c-479281f3b254" ] } ], "mendeley" : { "formattedCitation" : "(Flynn et al., 2002; Snook and Whitehead, 2004)", "plainTextFormattedCitation" : "(Flynn et al., 2002; Snook and Whitehead, 2004)", "previouslyFormattedCitation" : "(Flynn et al., 2002; Snook and Whitehead, 2004)" }, "properties" : { "noteIndex" : 0 }, "schema" : "https://github.com/citation-style-language/schema/raw/master/csl-citation.json" }</w:instrText>
      </w:r>
      <w:r w:rsidRPr="00806F9C">
        <w:rPr>
          <w:rFonts w:ascii="Cambria" w:hAnsi="Cambria"/>
        </w:rPr>
        <w:fldChar w:fldCharType="separate"/>
      </w:r>
      <w:r w:rsidRPr="00806F9C">
        <w:rPr>
          <w:rFonts w:ascii="Cambria" w:hAnsi="Cambria"/>
        </w:rPr>
        <w:t>(Flynn et al., 2002; Snook and Whitehead, 2004)</w:t>
      </w:r>
      <w:r w:rsidRPr="00806F9C">
        <w:rPr>
          <w:rFonts w:ascii="Cambria" w:hAnsi="Cambria"/>
        </w:rPr>
        <w:fldChar w:fldCharType="end"/>
      </w:r>
      <w:r w:rsidR="005D49C4">
        <w:rPr>
          <w:rFonts w:ascii="Cambria" w:hAnsi="Cambria"/>
        </w:rPr>
        <w:t>.</w:t>
      </w:r>
    </w:p>
    <w:p w14:paraId="4E51882F" w14:textId="77777777" w:rsidR="002C04D8" w:rsidRDefault="002C04D8" w:rsidP="00977F5C">
      <w:pPr>
        <w:pStyle w:val="Heading1"/>
        <w:numPr>
          <w:ilvl w:val="0"/>
          <w:numId w:val="1"/>
        </w:numPr>
        <w:spacing w:line="276" w:lineRule="auto"/>
        <w:rPr>
          <w:color w:val="auto"/>
        </w:rPr>
      </w:pPr>
      <w:bookmarkStart w:id="5" w:name="_Toc517707822"/>
      <w:r w:rsidRPr="00441B32">
        <w:rPr>
          <w:color w:val="auto"/>
        </w:rPr>
        <w:t>Scenarios</w:t>
      </w:r>
      <w:bookmarkEnd w:id="5"/>
      <w:r w:rsidRPr="00441B32">
        <w:rPr>
          <w:color w:val="auto"/>
        </w:rPr>
        <w:t xml:space="preserve"> </w:t>
      </w:r>
    </w:p>
    <w:p w14:paraId="28E261BF" w14:textId="77777777" w:rsidR="002C04D8" w:rsidRDefault="002C04D8" w:rsidP="00977F5C">
      <w:pPr>
        <w:spacing w:line="276" w:lineRule="auto"/>
      </w:pPr>
    </w:p>
    <w:p w14:paraId="0FCC9ABB" w14:textId="4332087E" w:rsidR="002C04D8" w:rsidRDefault="00133DE3" w:rsidP="00977F5C">
      <w:pPr>
        <w:spacing w:line="276" w:lineRule="auto"/>
        <w:rPr>
          <w:rFonts w:ascii="Cambria" w:hAnsi="Cambria" w:cstheme="minorHAnsi"/>
          <w:bCs/>
          <w:color w:val="333333"/>
        </w:rPr>
      </w:pPr>
      <w:r>
        <w:rPr>
          <w:rFonts w:ascii="Cambria" w:hAnsi="Cambria"/>
        </w:rPr>
        <w:t>Green infrastructure is well documented (</w:t>
      </w:r>
      <w:r w:rsidR="007769A9">
        <w:rPr>
          <w:rFonts w:ascii="Cambria" w:hAnsi="Cambria"/>
        </w:rPr>
        <w:t>CIRIA 2007, Ellis 2015</w:t>
      </w:r>
      <w:r>
        <w:rPr>
          <w:rFonts w:ascii="Cambria" w:hAnsi="Cambria"/>
        </w:rPr>
        <w:t>) to mitigate</w:t>
      </w:r>
      <w:r w:rsidR="00567EF6">
        <w:rPr>
          <w:rFonts w:ascii="Cambria" w:hAnsi="Cambria"/>
        </w:rPr>
        <w:t xml:space="preserve"> </w:t>
      </w:r>
      <w:r w:rsidR="00242CE5">
        <w:rPr>
          <w:rFonts w:ascii="Cambria" w:hAnsi="Cambria"/>
        </w:rPr>
        <w:t xml:space="preserve"> pollution</w:t>
      </w:r>
      <w:r>
        <w:rPr>
          <w:rFonts w:ascii="Cambria" w:hAnsi="Cambria"/>
        </w:rPr>
        <w:t xml:space="preserve">, reduce flood risk and create biodiversity. It can include </w:t>
      </w:r>
      <w:r w:rsidR="00567EF6">
        <w:rPr>
          <w:rFonts w:ascii="Cambria" w:hAnsi="Cambria"/>
        </w:rPr>
        <w:t>SuDS</w:t>
      </w:r>
      <w:r>
        <w:rPr>
          <w:rFonts w:ascii="Cambria" w:hAnsi="Cambria"/>
        </w:rPr>
        <w:t xml:space="preserve">, retention ponds, constructed wetlands and green roofs. </w:t>
      </w:r>
      <w:r w:rsidR="00567EF6">
        <w:rPr>
          <w:rFonts w:ascii="Cambria" w:hAnsi="Cambria"/>
        </w:rPr>
        <w:t>As</w:t>
      </w:r>
      <w:r>
        <w:rPr>
          <w:rFonts w:ascii="Cambria" w:hAnsi="Cambria"/>
        </w:rPr>
        <w:t xml:space="preserve"> water quality was a key aim</w:t>
      </w:r>
      <w:r w:rsidR="00567EF6">
        <w:rPr>
          <w:rFonts w:ascii="Cambria" w:hAnsi="Cambria"/>
        </w:rPr>
        <w:t xml:space="preserve"> for this project,</w:t>
      </w:r>
      <w:r>
        <w:rPr>
          <w:rFonts w:ascii="Cambria" w:hAnsi="Cambria"/>
        </w:rPr>
        <w:t xml:space="preserve"> constructed wetlands were </w:t>
      </w:r>
      <w:r w:rsidR="005D49C4">
        <w:rPr>
          <w:rFonts w:ascii="Cambria" w:hAnsi="Cambria"/>
        </w:rPr>
        <w:t>tested</w:t>
      </w:r>
      <w:r>
        <w:rPr>
          <w:rFonts w:ascii="Cambria" w:hAnsi="Cambria"/>
        </w:rPr>
        <w:t xml:space="preserve"> for treating a river using a catchment</w:t>
      </w:r>
      <w:r w:rsidR="00567EF6">
        <w:rPr>
          <w:rFonts w:ascii="Cambria" w:hAnsi="Cambria"/>
        </w:rPr>
        <w:t>-</w:t>
      </w:r>
      <w:r>
        <w:rPr>
          <w:rFonts w:ascii="Cambria" w:hAnsi="Cambria"/>
        </w:rPr>
        <w:t xml:space="preserve">based approach. Constructed wetlands such as Firs Farm, Enfield have been </w:t>
      </w:r>
      <w:r w:rsidRPr="00133DE3">
        <w:rPr>
          <w:rFonts w:ascii="Cambria" w:hAnsi="Cambria"/>
        </w:rPr>
        <w:t xml:space="preserve">observed to reduce </w:t>
      </w:r>
      <w:r w:rsidRPr="00133DE3">
        <w:rPr>
          <w:rFonts w:ascii="Cambria" w:hAnsi="Cambria" w:cstheme="minorHAnsi"/>
          <w:bCs/>
          <w:color w:val="333333"/>
        </w:rPr>
        <w:t xml:space="preserve">65% </w:t>
      </w:r>
      <w:r>
        <w:rPr>
          <w:rFonts w:ascii="Cambria" w:hAnsi="Cambria" w:cstheme="minorHAnsi"/>
          <w:bCs/>
          <w:color w:val="333333"/>
        </w:rPr>
        <w:t>of</w:t>
      </w:r>
      <w:r w:rsidRPr="00133DE3">
        <w:rPr>
          <w:rFonts w:ascii="Cambria" w:hAnsi="Cambria" w:cstheme="minorHAnsi"/>
          <w:bCs/>
          <w:color w:val="333333"/>
        </w:rPr>
        <w:t xml:space="preserve"> nitrate, 69% </w:t>
      </w:r>
      <w:r>
        <w:rPr>
          <w:rFonts w:ascii="Cambria" w:hAnsi="Cambria" w:cstheme="minorHAnsi"/>
          <w:bCs/>
          <w:color w:val="333333"/>
        </w:rPr>
        <w:t>of</w:t>
      </w:r>
      <w:r w:rsidRPr="00133DE3">
        <w:rPr>
          <w:rFonts w:ascii="Cambria" w:hAnsi="Cambria" w:cstheme="minorHAnsi"/>
          <w:bCs/>
          <w:color w:val="333333"/>
        </w:rPr>
        <w:t xml:space="preserve"> ammonia, 68%</w:t>
      </w:r>
      <w:r>
        <w:rPr>
          <w:rFonts w:ascii="Cambria" w:hAnsi="Cambria" w:cstheme="minorHAnsi"/>
          <w:bCs/>
          <w:color w:val="333333"/>
        </w:rPr>
        <w:t xml:space="preserve"> of</w:t>
      </w:r>
      <w:r w:rsidRPr="00133DE3">
        <w:rPr>
          <w:rFonts w:ascii="Cambria" w:hAnsi="Cambria" w:cstheme="minorHAnsi"/>
          <w:bCs/>
          <w:color w:val="333333"/>
        </w:rPr>
        <w:t xml:space="preserve"> phosphate and 78%</w:t>
      </w:r>
      <w:r>
        <w:rPr>
          <w:rFonts w:ascii="Cambria" w:hAnsi="Cambria" w:cstheme="minorHAnsi"/>
          <w:bCs/>
          <w:color w:val="333333"/>
        </w:rPr>
        <w:t xml:space="preserve"> of</w:t>
      </w:r>
      <w:r w:rsidRPr="00133DE3">
        <w:rPr>
          <w:rFonts w:ascii="Cambria" w:hAnsi="Cambria" w:cstheme="minorHAnsi"/>
          <w:bCs/>
          <w:color w:val="333333"/>
        </w:rPr>
        <w:t xml:space="preserve"> faecal bacteria</w:t>
      </w:r>
      <w:r>
        <w:rPr>
          <w:rFonts w:ascii="Cambria" w:hAnsi="Cambria" w:cstheme="minorHAnsi"/>
          <w:bCs/>
          <w:color w:val="333333"/>
        </w:rPr>
        <w:t xml:space="preserve"> concentrations (Gilbert, 2016), as well as</w:t>
      </w:r>
      <w:r w:rsidR="00DD4C72">
        <w:rPr>
          <w:rFonts w:ascii="Cambria" w:hAnsi="Cambria" w:cstheme="minorHAnsi"/>
          <w:bCs/>
          <w:color w:val="333333"/>
        </w:rPr>
        <w:t xml:space="preserve"> having additional benefits including</w:t>
      </w:r>
      <w:r>
        <w:rPr>
          <w:rFonts w:ascii="Cambria" w:hAnsi="Cambria" w:cstheme="minorHAnsi"/>
          <w:bCs/>
          <w:color w:val="333333"/>
        </w:rPr>
        <w:t xml:space="preserve"> reducing flood risk to properties. </w:t>
      </w:r>
    </w:p>
    <w:p w14:paraId="3758B035" w14:textId="21DD39FD" w:rsidR="001B358B" w:rsidRDefault="00133DE3" w:rsidP="00977F5C">
      <w:pPr>
        <w:spacing w:line="276" w:lineRule="auto"/>
        <w:rPr>
          <w:rFonts w:ascii="Cambria" w:hAnsi="Cambria" w:cstheme="minorHAnsi"/>
          <w:bCs/>
          <w:color w:val="333333"/>
        </w:rPr>
      </w:pPr>
      <w:r>
        <w:rPr>
          <w:rFonts w:ascii="Cambria" w:hAnsi="Cambria" w:cstheme="minorHAnsi"/>
          <w:bCs/>
          <w:color w:val="333333"/>
        </w:rPr>
        <w:t>The groups took similar approaches to identifying and assessing feasibility of sites for implementing constructed wetlands. Combining open access GIS,</w:t>
      </w:r>
      <w:r w:rsidR="00242CE5">
        <w:rPr>
          <w:rFonts w:ascii="Cambria" w:hAnsi="Cambria" w:cstheme="minorHAnsi"/>
          <w:bCs/>
          <w:color w:val="333333"/>
        </w:rPr>
        <w:t xml:space="preserve"> (sourced from </w:t>
      </w:r>
      <w:r>
        <w:rPr>
          <w:rFonts w:ascii="Cambria" w:hAnsi="Cambria" w:cstheme="minorHAnsi"/>
          <w:bCs/>
          <w:color w:val="333333"/>
        </w:rPr>
        <w:t xml:space="preserve">OS, EA, SCIMAP, CaBA) and local knowledge the groups undertook several mapping workshops to identify areas of open space </w:t>
      </w:r>
      <w:r w:rsidR="00526458">
        <w:rPr>
          <w:rFonts w:ascii="Cambria" w:hAnsi="Cambria" w:cstheme="minorHAnsi"/>
          <w:bCs/>
          <w:color w:val="333333"/>
        </w:rPr>
        <w:t xml:space="preserve">above </w:t>
      </w:r>
      <w:r w:rsidR="00714DB3">
        <w:rPr>
          <w:rFonts w:ascii="Cambria" w:hAnsi="Cambria" w:cstheme="minorHAnsi"/>
          <w:bCs/>
          <w:color w:val="333333"/>
        </w:rPr>
        <w:t xml:space="preserve">or adjacent to </w:t>
      </w:r>
      <w:r w:rsidR="00526458">
        <w:rPr>
          <w:rFonts w:ascii="Cambria" w:hAnsi="Cambria" w:cstheme="minorHAnsi"/>
          <w:bCs/>
          <w:color w:val="333333"/>
        </w:rPr>
        <w:t>gravity sewers</w:t>
      </w:r>
      <w:r>
        <w:rPr>
          <w:rFonts w:ascii="Cambria" w:hAnsi="Cambria" w:cstheme="minorHAnsi"/>
          <w:bCs/>
          <w:color w:val="333333"/>
        </w:rPr>
        <w:t>. Initially 50 sites were proposed across the three catchments</w:t>
      </w:r>
      <w:r w:rsidR="00526458">
        <w:rPr>
          <w:rFonts w:ascii="Cambria" w:hAnsi="Cambria" w:cstheme="minorHAnsi"/>
          <w:bCs/>
          <w:color w:val="333333"/>
        </w:rPr>
        <w:t>;</w:t>
      </w:r>
      <w:r>
        <w:rPr>
          <w:rFonts w:ascii="Cambria" w:hAnsi="Cambria" w:cstheme="minorHAnsi"/>
          <w:bCs/>
          <w:color w:val="333333"/>
        </w:rPr>
        <w:t xml:space="preserve"> after assessing for feasibility through investigating Thames Water Sewer Network data, site visits and </w:t>
      </w:r>
      <w:r w:rsidR="00C46C3A">
        <w:rPr>
          <w:rFonts w:ascii="Cambria" w:hAnsi="Cambria" w:cstheme="minorHAnsi"/>
          <w:bCs/>
          <w:color w:val="333333"/>
        </w:rPr>
        <w:t>LIDAR data</w:t>
      </w:r>
      <w:r w:rsidR="00526458">
        <w:rPr>
          <w:rFonts w:ascii="Cambria" w:hAnsi="Cambria" w:cstheme="minorHAnsi"/>
          <w:bCs/>
          <w:color w:val="333333"/>
        </w:rPr>
        <w:t>,</w:t>
      </w:r>
      <w:r w:rsidR="00C46C3A">
        <w:rPr>
          <w:rFonts w:ascii="Cambria" w:hAnsi="Cambria" w:cstheme="minorHAnsi"/>
          <w:bCs/>
          <w:color w:val="333333"/>
        </w:rPr>
        <w:t xml:space="preserve"> this was reduced to 34</w:t>
      </w:r>
      <w:r>
        <w:rPr>
          <w:rFonts w:ascii="Cambria" w:hAnsi="Cambria" w:cstheme="minorHAnsi"/>
          <w:bCs/>
          <w:color w:val="333333"/>
        </w:rPr>
        <w:t xml:space="preserve">. </w:t>
      </w:r>
      <w:r w:rsidR="007769A9">
        <w:rPr>
          <w:rFonts w:ascii="Cambria" w:hAnsi="Cambria" w:cstheme="minorHAnsi"/>
          <w:bCs/>
          <w:color w:val="333333"/>
        </w:rPr>
        <w:t xml:space="preserve">Figure 2 shows the site locations of the potential wetlands identified by the community modellers. </w:t>
      </w:r>
    </w:p>
    <w:p w14:paraId="606CA48A" w14:textId="1199798C" w:rsidR="00EB3193" w:rsidRDefault="007769A9" w:rsidP="00977F5C">
      <w:pPr>
        <w:spacing w:line="276" w:lineRule="auto"/>
        <w:rPr>
          <w:rFonts w:ascii="Cambria" w:hAnsi="Cambria" w:cstheme="minorHAnsi"/>
          <w:bCs/>
          <w:color w:val="333333"/>
        </w:rPr>
      </w:pPr>
      <w:r>
        <w:rPr>
          <w:rFonts w:ascii="Cambria" w:hAnsi="Cambria" w:cstheme="minorHAnsi"/>
          <w:bCs/>
          <w:color w:val="333333"/>
        </w:rPr>
        <w:t>Once the potential sites were mapped</w:t>
      </w:r>
      <w:r w:rsidR="00526458">
        <w:rPr>
          <w:rFonts w:ascii="Cambria" w:hAnsi="Cambria" w:cstheme="minorHAnsi"/>
          <w:bCs/>
          <w:color w:val="333333"/>
        </w:rPr>
        <w:t>,</w:t>
      </w:r>
      <w:r>
        <w:rPr>
          <w:rFonts w:ascii="Cambria" w:hAnsi="Cambria" w:cstheme="minorHAnsi"/>
          <w:bCs/>
          <w:color w:val="333333"/>
        </w:rPr>
        <w:t xml:space="preserve"> bespoke models for the three tributaries could be designed and tested. </w:t>
      </w:r>
      <w:r w:rsidR="00E350B0">
        <w:rPr>
          <w:rFonts w:ascii="Cambria" w:hAnsi="Cambria" w:cstheme="minorHAnsi"/>
          <w:bCs/>
          <w:color w:val="333333"/>
        </w:rPr>
        <w:t xml:space="preserve">Potential wetlands can be tested individually or in </w:t>
      </w:r>
      <w:r w:rsidR="00526458">
        <w:rPr>
          <w:rFonts w:ascii="Cambria" w:hAnsi="Cambria" w:cstheme="minorHAnsi"/>
          <w:bCs/>
          <w:color w:val="333333"/>
        </w:rPr>
        <w:t xml:space="preserve">combination </w:t>
      </w:r>
      <w:r w:rsidR="00E350B0">
        <w:rPr>
          <w:rFonts w:ascii="Cambria" w:hAnsi="Cambria" w:cstheme="minorHAnsi"/>
          <w:bCs/>
          <w:color w:val="333333"/>
        </w:rPr>
        <w:t>with other</w:t>
      </w:r>
      <w:r w:rsidR="00526458">
        <w:rPr>
          <w:rFonts w:ascii="Cambria" w:hAnsi="Cambria" w:cstheme="minorHAnsi"/>
          <w:bCs/>
          <w:color w:val="333333"/>
        </w:rPr>
        <w:t xml:space="preserve"> wetlands</w:t>
      </w:r>
      <w:r w:rsidR="00E350B0">
        <w:rPr>
          <w:rFonts w:ascii="Cambria" w:hAnsi="Cambria" w:cstheme="minorHAnsi"/>
          <w:bCs/>
          <w:color w:val="333333"/>
        </w:rPr>
        <w:t xml:space="preserve"> this can </w:t>
      </w:r>
      <w:r w:rsidR="00526458">
        <w:rPr>
          <w:rFonts w:ascii="Cambria" w:hAnsi="Cambria" w:cstheme="minorHAnsi"/>
          <w:bCs/>
          <w:color w:val="333333"/>
        </w:rPr>
        <w:t xml:space="preserve">identify </w:t>
      </w:r>
      <w:r w:rsidR="00E350B0">
        <w:rPr>
          <w:rFonts w:ascii="Cambria" w:hAnsi="Cambria" w:cstheme="minorHAnsi"/>
          <w:bCs/>
          <w:color w:val="333333"/>
        </w:rPr>
        <w:t xml:space="preserve">strategically important areas in which significant improvements can be </w:t>
      </w:r>
      <w:r w:rsidR="00526458">
        <w:rPr>
          <w:rFonts w:ascii="Cambria" w:hAnsi="Cambria" w:cstheme="minorHAnsi"/>
          <w:bCs/>
          <w:color w:val="333333"/>
        </w:rPr>
        <w:t>predicted</w:t>
      </w:r>
      <w:r w:rsidR="00E350B0">
        <w:rPr>
          <w:rFonts w:ascii="Cambria" w:hAnsi="Cambria" w:cstheme="minorHAnsi"/>
          <w:bCs/>
          <w:color w:val="333333"/>
        </w:rPr>
        <w:t xml:space="preserve">. </w:t>
      </w:r>
      <w:r w:rsidR="00BD55AA">
        <w:rPr>
          <w:rFonts w:ascii="Cambria" w:hAnsi="Cambria" w:cstheme="minorHAnsi"/>
          <w:bCs/>
          <w:color w:val="333333"/>
        </w:rPr>
        <w:t>The size of wetlands and the areas treated by the wetland contribute to more significant improvements in water quality</w:t>
      </w:r>
    </w:p>
    <w:p w14:paraId="1E85560A" w14:textId="77777777" w:rsidR="002C04D8" w:rsidRDefault="007769A9" w:rsidP="00933A85">
      <w:pPr>
        <w:spacing w:line="276" w:lineRule="auto"/>
      </w:pPr>
      <w:r>
        <w:rPr>
          <w:noProof/>
          <w:lang w:eastAsia="en-GB"/>
        </w:rPr>
        <w:lastRenderedPageBreak/>
        <mc:AlternateContent>
          <mc:Choice Requires="wps">
            <w:drawing>
              <wp:anchor distT="0" distB="0" distL="114300" distR="114300" simplePos="0" relativeHeight="251666432" behindDoc="0" locked="0" layoutInCell="1" allowOverlap="1" wp14:anchorId="1469211B" wp14:editId="2027CDAC">
                <wp:simplePos x="0" y="0"/>
                <wp:positionH relativeFrom="column">
                  <wp:posOffset>2919730</wp:posOffset>
                </wp:positionH>
                <wp:positionV relativeFrom="paragraph">
                  <wp:posOffset>5422265</wp:posOffset>
                </wp:positionV>
                <wp:extent cx="6085840" cy="635"/>
                <wp:effectExtent l="0" t="9525" r="635" b="635"/>
                <wp:wrapTopAndBottom/>
                <wp:docPr id="6" name="Text Box 6"/>
                <wp:cNvGraphicFramePr/>
                <a:graphic xmlns:a="http://schemas.openxmlformats.org/drawingml/2006/main">
                  <a:graphicData uri="http://schemas.microsoft.com/office/word/2010/wordprocessingShape">
                    <wps:wsp>
                      <wps:cNvSpPr txBox="1"/>
                      <wps:spPr>
                        <a:xfrm rot="16200000">
                          <a:off x="0" y="0"/>
                          <a:ext cx="6085840" cy="635"/>
                        </a:xfrm>
                        <a:prstGeom prst="rect">
                          <a:avLst/>
                        </a:prstGeom>
                        <a:solidFill>
                          <a:prstClr val="white"/>
                        </a:solidFill>
                        <a:ln>
                          <a:noFill/>
                        </a:ln>
                        <a:effectLst/>
                      </wps:spPr>
                      <wps:txbx>
                        <w:txbxContent>
                          <w:p w14:paraId="16DBF107" w14:textId="77777777" w:rsidR="007769A9" w:rsidRPr="007769A9" w:rsidRDefault="007769A9" w:rsidP="007769A9">
                            <w:pPr>
                              <w:pStyle w:val="Caption"/>
                              <w:rPr>
                                <w:b w:val="0"/>
                                <w:noProof/>
                              </w:rPr>
                            </w:pPr>
                            <w:r w:rsidRPr="007769A9">
                              <w:rPr>
                                <w:b w:val="0"/>
                              </w:rPr>
                              <w:t xml:space="preserve">Figure </w:t>
                            </w:r>
                            <w:r w:rsidR="00187BFE">
                              <w:rPr>
                                <w:b w:val="0"/>
                              </w:rPr>
                              <w:fldChar w:fldCharType="begin"/>
                            </w:r>
                            <w:r w:rsidR="00187BFE">
                              <w:rPr>
                                <w:b w:val="0"/>
                              </w:rPr>
                              <w:instrText xml:space="preserve"> STYLEREF 1 \s </w:instrText>
                            </w:r>
                            <w:r w:rsidR="00187BFE">
                              <w:rPr>
                                <w:b w:val="0"/>
                              </w:rPr>
                              <w:fldChar w:fldCharType="separate"/>
                            </w:r>
                            <w:r w:rsidR="00187BFE">
                              <w:rPr>
                                <w:b w:val="0"/>
                                <w:noProof/>
                              </w:rPr>
                              <w:t>4</w:t>
                            </w:r>
                            <w:r w:rsidR="00187BFE">
                              <w:rPr>
                                <w:b w:val="0"/>
                              </w:rPr>
                              <w:fldChar w:fldCharType="end"/>
                            </w:r>
                            <w:r w:rsidR="00187BFE">
                              <w:rPr>
                                <w:b w:val="0"/>
                              </w:rPr>
                              <w:noBreakHyphen/>
                            </w:r>
                            <w:r w:rsidR="00187BFE">
                              <w:rPr>
                                <w:b w:val="0"/>
                              </w:rPr>
                              <w:fldChar w:fldCharType="begin"/>
                            </w:r>
                            <w:r w:rsidR="00187BFE">
                              <w:rPr>
                                <w:b w:val="0"/>
                              </w:rPr>
                              <w:instrText xml:space="preserve"> SEQ Figure \* ARABIC \s 1 </w:instrText>
                            </w:r>
                            <w:r w:rsidR="00187BFE">
                              <w:rPr>
                                <w:b w:val="0"/>
                              </w:rPr>
                              <w:fldChar w:fldCharType="separate"/>
                            </w:r>
                            <w:r w:rsidR="00187BFE">
                              <w:rPr>
                                <w:b w:val="0"/>
                                <w:noProof/>
                              </w:rPr>
                              <w:t>1</w:t>
                            </w:r>
                            <w:r w:rsidR="00187BFE">
                              <w:rPr>
                                <w:b w:val="0"/>
                              </w:rPr>
                              <w:fldChar w:fldCharType="end"/>
                            </w:r>
                            <w:r w:rsidRPr="007769A9">
                              <w:rPr>
                                <w:b w:val="0"/>
                              </w:rPr>
                              <w:t xml:space="preserve"> A map of the three catchments showing established, planned and proposed sites for constructed wetlands. Identified by the Community Modellers using Thames Water Sewer Network and site visits.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w14:anchorId="1469211B" id="_x0000_t202" coordsize="21600,21600" o:spt="202" path="m,l,21600r21600,l21600,xe">
                <v:stroke joinstyle="miter"/>
                <v:path gradientshapeok="t" o:connecttype="rect"/>
              </v:shapetype>
              <v:shape id="Text Box 6" o:spid="_x0000_s1026" type="#_x0000_t202" style="position:absolute;margin-left:229.9pt;margin-top:426.95pt;width:479.2pt;height:.05pt;rotation:-90;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a+OAIAAHoEAAAOAAAAZHJzL2Uyb0RvYy54bWysVNFu2jAUfZ+0f7D8PgLdiipEqBgV0yTU&#10;VipTn43jkEiOr2cbEvb1O3aSduv2NI0H6+b6+Nj3nHtZ3naNZmflfE0m57PJlDNlJBW1Oeb82377&#10;4YYzH4QphCajcn5Rnt+u3r9btnahrqgiXSjHQGL8orU5r0KwiyzzslKN8BOyymCzJNeIgE93zAon&#10;WrA3OruaTudZS66wjqTyHtm7fpOvEn9ZKhkeytKrwHTO8baQVpfWQ1yz1VIsjk7YqpbDM8Q/vKIR&#10;tcGlL1R3Igh2cvUfVE0tHXkqw0RSk1FZ1lKlGlDNbPqmmqdKWJVqgTjevsjk/x+tvD8/OlYXOZ9z&#10;ZkQDi/aqC+wzdWwe1WmtXwD0ZAELHdJwecx7JGPRXeka5gjizuYwBb+kBapjgEP2y4vUkVsiOZ/e&#10;XN98wpbE3vzjdaTMeqbIaJ0PXxQ1LAY5d/AxUYrzzoceOkIi3JOui22t9Xh2ox07C3jeVnVQA/lv&#10;KG0i1lA81RP2GZWaZrglFt8XGaPQHbpBkQMVFwiSakYR3sptjZfuhA+PwqGDkMRUhAcspaY25zRE&#10;nFXkfvwtH/EwFructejInPvvJ+EUZ/qrgeWgDGPgxuAwBubUbAgFz9JrUogDLugxLB01zxiWdbwF&#10;W8JI3JXzMIab0M8Fhk2q9TqB0KRWhJ15sjJSj/Luu2fh7GBOgKf3NPaqWLzxqMcml+z6FCB4MjAK&#10;2qsI4+MHGjy1wDCMcYJ+/U6o17+M1U8AAAD//wMAUEsDBBQABgAIAAAAIQDeU/U64AAAAAwBAAAP&#10;AAAAZHJzL2Rvd25yZXYueG1sTI9BT4NAEIXvJv6HzZh4swusUUCWprHRpF4asRdvW5gCkZ1Fdtvi&#10;v+940uNkvrz3vWI520GccPK9Iw3xIgKBVLump1bD7uPlLgXhg6HGDI5Qww96WJbXV4XJG3emdzxV&#10;oRUcQj43GroQxlxKX3dojV+4EYl/BzdZE/icWtlM5szhdpBJFD1Ia3rihs6M+Nxh/VUdrQZUb9Xu&#10;YOPt65pWn8n3Jl1vY6/17c28egIRcA5/MPzqszqU7LR3R2q8GDRkKs0Y1aAe73kDE5nKeN2eUaVU&#10;ArIs5P8R5QUAAP//AwBQSwECLQAUAAYACAAAACEAtoM4kv4AAADhAQAAEwAAAAAAAAAAAAAAAAAA&#10;AAAAW0NvbnRlbnRfVHlwZXNdLnhtbFBLAQItABQABgAIAAAAIQA4/SH/1gAAAJQBAAALAAAAAAAA&#10;AAAAAAAAAC8BAABfcmVscy8ucmVsc1BLAQItABQABgAIAAAAIQClcMa+OAIAAHoEAAAOAAAAAAAA&#10;AAAAAAAAAC4CAABkcnMvZTJvRG9jLnhtbFBLAQItABQABgAIAAAAIQDeU/U64AAAAAwBAAAPAAAA&#10;AAAAAAAAAAAAAJIEAABkcnMvZG93bnJldi54bWxQSwUGAAAAAAQABADzAAAAnwUAAAAA&#10;" stroked="f">
                <v:textbox style="mso-fit-shape-to-text:t" inset="0,0,0,0">
                  <w:txbxContent>
                    <w:p w14:paraId="16DBF107" w14:textId="77777777" w:rsidR="007769A9" w:rsidRPr="007769A9" w:rsidRDefault="007769A9" w:rsidP="007769A9">
                      <w:pPr>
                        <w:pStyle w:val="Caption"/>
                        <w:rPr>
                          <w:b w:val="0"/>
                          <w:noProof/>
                        </w:rPr>
                      </w:pPr>
                      <w:r w:rsidRPr="007769A9">
                        <w:rPr>
                          <w:b w:val="0"/>
                        </w:rPr>
                        <w:t xml:space="preserve">Figure </w:t>
                      </w:r>
                      <w:r w:rsidR="00187BFE">
                        <w:rPr>
                          <w:b w:val="0"/>
                        </w:rPr>
                        <w:fldChar w:fldCharType="begin"/>
                      </w:r>
                      <w:r w:rsidR="00187BFE">
                        <w:rPr>
                          <w:b w:val="0"/>
                        </w:rPr>
                        <w:instrText xml:space="preserve"> STYLEREF 1 \s </w:instrText>
                      </w:r>
                      <w:r w:rsidR="00187BFE">
                        <w:rPr>
                          <w:b w:val="0"/>
                        </w:rPr>
                        <w:fldChar w:fldCharType="separate"/>
                      </w:r>
                      <w:r w:rsidR="00187BFE">
                        <w:rPr>
                          <w:b w:val="0"/>
                          <w:noProof/>
                        </w:rPr>
                        <w:t>4</w:t>
                      </w:r>
                      <w:r w:rsidR="00187BFE">
                        <w:rPr>
                          <w:b w:val="0"/>
                        </w:rPr>
                        <w:fldChar w:fldCharType="end"/>
                      </w:r>
                      <w:r w:rsidR="00187BFE">
                        <w:rPr>
                          <w:b w:val="0"/>
                        </w:rPr>
                        <w:noBreakHyphen/>
                      </w:r>
                      <w:r w:rsidR="00187BFE">
                        <w:rPr>
                          <w:b w:val="0"/>
                        </w:rPr>
                        <w:fldChar w:fldCharType="begin"/>
                      </w:r>
                      <w:r w:rsidR="00187BFE">
                        <w:rPr>
                          <w:b w:val="0"/>
                        </w:rPr>
                        <w:instrText xml:space="preserve"> SEQ Figure \* ARABIC \s 1 </w:instrText>
                      </w:r>
                      <w:r w:rsidR="00187BFE">
                        <w:rPr>
                          <w:b w:val="0"/>
                        </w:rPr>
                        <w:fldChar w:fldCharType="separate"/>
                      </w:r>
                      <w:r w:rsidR="00187BFE">
                        <w:rPr>
                          <w:b w:val="0"/>
                          <w:noProof/>
                        </w:rPr>
                        <w:t>1</w:t>
                      </w:r>
                      <w:r w:rsidR="00187BFE">
                        <w:rPr>
                          <w:b w:val="0"/>
                        </w:rPr>
                        <w:fldChar w:fldCharType="end"/>
                      </w:r>
                      <w:r w:rsidRPr="007769A9">
                        <w:rPr>
                          <w:b w:val="0"/>
                        </w:rPr>
                        <w:t xml:space="preserve"> A map of the three catchments showing established, planned and proposed sites for constructed wetlands. Identified by the Community Modellers using Thames Water Sewer Network and site visits.</w:t>
                      </w:r>
                    </w:p>
                  </w:txbxContent>
                </v:textbox>
                <w10:wrap type="topAndBottom"/>
              </v:shape>
            </w:pict>
          </mc:Fallback>
        </mc:AlternateContent>
      </w:r>
      <w:r w:rsidR="00DC777F">
        <w:rPr>
          <w:noProof/>
          <w:lang w:eastAsia="en-GB"/>
        </w:rPr>
        <w:drawing>
          <wp:anchor distT="0" distB="0" distL="114300" distR="114300" simplePos="0" relativeHeight="251664384" behindDoc="0" locked="0" layoutInCell="1" allowOverlap="1" wp14:anchorId="3209FBB1" wp14:editId="440979F9">
            <wp:simplePos x="0" y="0"/>
            <wp:positionH relativeFrom="margin">
              <wp:align>center</wp:align>
            </wp:positionH>
            <wp:positionV relativeFrom="paragraph">
              <wp:posOffset>1242060</wp:posOffset>
            </wp:positionV>
            <wp:extent cx="8569325" cy="6085840"/>
            <wp:effectExtent l="3493" t="0" r="6667" b="6668"/>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rivers with class.PNG"/>
                    <pic:cNvPicPr/>
                  </pic:nvPicPr>
                  <pic:blipFill>
                    <a:blip r:embed="rId9">
                      <a:extLst>
                        <a:ext uri="{28A0092B-C50C-407E-A947-70E740481C1C}">
                          <a14:useLocalDpi xmlns:a14="http://schemas.microsoft.com/office/drawing/2010/main" val="0"/>
                        </a:ext>
                      </a:extLst>
                    </a:blip>
                    <a:stretch>
                      <a:fillRect/>
                    </a:stretch>
                  </pic:blipFill>
                  <pic:spPr>
                    <a:xfrm rot="16200000">
                      <a:off x="0" y="0"/>
                      <a:ext cx="8569325" cy="6085840"/>
                    </a:xfrm>
                    <a:prstGeom prst="rect">
                      <a:avLst/>
                    </a:prstGeom>
                  </pic:spPr>
                </pic:pic>
              </a:graphicData>
            </a:graphic>
          </wp:anchor>
        </w:drawing>
      </w:r>
    </w:p>
    <w:p w14:paraId="7C427B38" w14:textId="77777777" w:rsidR="00441B32" w:rsidRDefault="00441B32" w:rsidP="00977F5C">
      <w:pPr>
        <w:pStyle w:val="Heading1"/>
        <w:numPr>
          <w:ilvl w:val="0"/>
          <w:numId w:val="1"/>
        </w:numPr>
        <w:spacing w:line="276" w:lineRule="auto"/>
        <w:rPr>
          <w:color w:val="auto"/>
        </w:rPr>
      </w:pPr>
      <w:bookmarkStart w:id="6" w:name="_Toc517707823"/>
      <w:r>
        <w:rPr>
          <w:color w:val="auto"/>
        </w:rPr>
        <w:lastRenderedPageBreak/>
        <w:t>Results</w:t>
      </w:r>
      <w:bookmarkEnd w:id="6"/>
      <w:r>
        <w:rPr>
          <w:color w:val="auto"/>
        </w:rPr>
        <w:t xml:space="preserve"> </w:t>
      </w:r>
    </w:p>
    <w:p w14:paraId="1D7E1F63" w14:textId="77777777" w:rsidR="00441B32" w:rsidRDefault="00441B32" w:rsidP="00977F5C">
      <w:pPr>
        <w:pStyle w:val="Subtitle"/>
        <w:spacing w:line="276" w:lineRule="auto"/>
      </w:pPr>
    </w:p>
    <w:p w14:paraId="0A86DF2D" w14:textId="77777777" w:rsidR="004B2CE8" w:rsidRPr="004B2CE8" w:rsidRDefault="004B2CE8" w:rsidP="00977F5C">
      <w:pPr>
        <w:pStyle w:val="Subtitle"/>
        <w:spacing w:line="276" w:lineRule="auto"/>
        <w:rPr>
          <w:rFonts w:ascii="Cambria" w:hAnsi="Cambria"/>
        </w:rPr>
      </w:pPr>
      <w:r w:rsidRPr="004B2CE8">
        <w:rPr>
          <w:rFonts w:ascii="Cambria" w:hAnsi="Cambria"/>
        </w:rPr>
        <w:t xml:space="preserve">4.1 Combined effect of implementing constructed wetlands across a catchment </w:t>
      </w:r>
    </w:p>
    <w:p w14:paraId="732C7C63" w14:textId="32B37C1D" w:rsidR="007B4101" w:rsidRDefault="005121CC" w:rsidP="00977F5C">
      <w:pPr>
        <w:spacing w:line="276" w:lineRule="auto"/>
        <w:rPr>
          <w:rFonts w:ascii="Cambria" w:hAnsi="Cambria"/>
        </w:rPr>
      </w:pPr>
      <w:r>
        <w:rPr>
          <w:rFonts w:ascii="Cambria" w:hAnsi="Cambria"/>
        </w:rPr>
        <w:t xml:space="preserve">Constructed wetlands can be represented in INCA by increasing the residence time by a factor of 10, changing the land use and creating a new reach in which the surface water would be treated. Figures </w:t>
      </w:r>
      <w:r w:rsidR="00896362">
        <w:rPr>
          <w:rFonts w:ascii="Cambria" w:hAnsi="Cambria"/>
        </w:rPr>
        <w:t>2, 3</w:t>
      </w:r>
      <w:r w:rsidR="00C46C3A">
        <w:rPr>
          <w:rFonts w:ascii="Cambria" w:hAnsi="Cambria"/>
        </w:rPr>
        <w:t xml:space="preserve"> and </w:t>
      </w:r>
      <w:r w:rsidR="00896362">
        <w:rPr>
          <w:rFonts w:ascii="Cambria" w:hAnsi="Cambria"/>
        </w:rPr>
        <w:t>4</w:t>
      </w:r>
      <w:r>
        <w:rPr>
          <w:rFonts w:ascii="Cambria" w:hAnsi="Cambria"/>
        </w:rPr>
        <w:t xml:space="preserve"> show the modelled results of the scenarios. </w:t>
      </w:r>
      <w:r w:rsidR="00384D94">
        <w:rPr>
          <w:rFonts w:ascii="Cambria" w:hAnsi="Cambria"/>
        </w:rPr>
        <w:t>The scenarios were modelled investigating the overall improvements at a catchment scale and individually at a reach scale</w:t>
      </w:r>
      <w:r w:rsidR="00E65EDB">
        <w:rPr>
          <w:rFonts w:ascii="Cambria" w:hAnsi="Cambria"/>
        </w:rPr>
        <w:t xml:space="preserve">: a </w:t>
      </w:r>
      <w:r w:rsidR="001B032D">
        <w:rPr>
          <w:rFonts w:ascii="Cambria" w:hAnsi="Cambria"/>
        </w:rPr>
        <w:t xml:space="preserve">reach scale is defined as the upstream area treated by the constructed </w:t>
      </w:r>
      <w:r w:rsidR="00053E5F">
        <w:rPr>
          <w:rFonts w:ascii="Cambria" w:hAnsi="Cambria"/>
        </w:rPr>
        <w:t>wetland. As</w:t>
      </w:r>
      <w:r w:rsidR="00384D94">
        <w:rPr>
          <w:rFonts w:ascii="Cambria" w:hAnsi="Cambria"/>
        </w:rPr>
        <w:t xml:space="preserve"> expected, results at a reach scale were significantly larger, demonstrating the benefits produced by a constructed wetland. Once the results were considered at a catchment scale, the benefits are reduced, however both the Pymmes Brook and Ching Brook </w:t>
      </w:r>
      <w:r w:rsidR="0011007B">
        <w:rPr>
          <w:rFonts w:ascii="Cambria" w:hAnsi="Cambria"/>
        </w:rPr>
        <w:t>are predicted to</w:t>
      </w:r>
      <w:r w:rsidR="00384D94">
        <w:rPr>
          <w:rFonts w:ascii="Cambria" w:hAnsi="Cambria"/>
        </w:rPr>
        <w:t xml:space="preserve"> </w:t>
      </w:r>
      <w:r w:rsidR="00E65EDB">
        <w:rPr>
          <w:rFonts w:ascii="Cambria" w:hAnsi="Cambria"/>
        </w:rPr>
        <w:t xml:space="preserve">gain </w:t>
      </w:r>
      <w:r w:rsidR="00384D94">
        <w:rPr>
          <w:rFonts w:ascii="Cambria" w:hAnsi="Cambria"/>
        </w:rPr>
        <w:t>‘good ecological status’ with the implementation of the scenarios</w:t>
      </w:r>
      <w:r w:rsidR="00E65EDB">
        <w:rPr>
          <w:rFonts w:ascii="Cambria" w:hAnsi="Cambria"/>
        </w:rPr>
        <w:t xml:space="preserve"> – currently only one stretch of river in outer London has been given this status.</w:t>
      </w:r>
    </w:p>
    <w:p w14:paraId="0CACE744" w14:textId="70FEC46C" w:rsidR="002C04D8" w:rsidRPr="004B2CE8" w:rsidRDefault="002C04D8" w:rsidP="00977F5C">
      <w:pPr>
        <w:spacing w:line="276" w:lineRule="auto"/>
        <w:rPr>
          <w:rFonts w:ascii="Cambria" w:hAnsi="Cambria"/>
        </w:rPr>
      </w:pPr>
      <w:r>
        <w:rPr>
          <w:rFonts w:ascii="Cambria" w:hAnsi="Cambria"/>
        </w:rPr>
        <w:t xml:space="preserve">It should be noted, </w:t>
      </w:r>
      <w:r w:rsidR="00E65EDB">
        <w:rPr>
          <w:rFonts w:ascii="Cambria" w:hAnsi="Cambria"/>
        </w:rPr>
        <w:t xml:space="preserve">observed improvements in water quality at Firs Farm are greater than the </w:t>
      </w:r>
      <w:r w:rsidR="00ED4DC4">
        <w:rPr>
          <w:rFonts w:ascii="Cambria" w:hAnsi="Cambria"/>
        </w:rPr>
        <w:t xml:space="preserve">simulated improvements </w:t>
      </w:r>
      <w:r>
        <w:rPr>
          <w:rFonts w:ascii="Cambria" w:hAnsi="Cambria"/>
        </w:rPr>
        <w:t>by the model in the scenario runs.</w:t>
      </w:r>
      <w:r w:rsidR="005D49C4">
        <w:rPr>
          <w:rFonts w:ascii="Cambria" w:hAnsi="Cambria"/>
        </w:rPr>
        <w:t xml:space="preserve"> Thus</w:t>
      </w:r>
      <w:r w:rsidR="00053E5F">
        <w:rPr>
          <w:rFonts w:ascii="Cambria" w:hAnsi="Cambria"/>
        </w:rPr>
        <w:t>,</w:t>
      </w:r>
      <w:r w:rsidR="005D49C4">
        <w:rPr>
          <w:rFonts w:ascii="Cambria" w:hAnsi="Cambria"/>
        </w:rPr>
        <w:t xml:space="preserve"> INCA is </w:t>
      </w:r>
      <w:r w:rsidR="00E65EDB">
        <w:rPr>
          <w:rFonts w:ascii="Cambria" w:hAnsi="Cambria"/>
        </w:rPr>
        <w:t xml:space="preserve">using </w:t>
      </w:r>
      <w:r w:rsidR="005D49C4">
        <w:rPr>
          <w:rFonts w:ascii="Cambria" w:hAnsi="Cambria"/>
        </w:rPr>
        <w:t xml:space="preserve">a conservative estimate. </w:t>
      </w:r>
      <w:r>
        <w:rPr>
          <w:rFonts w:ascii="Cambria" w:hAnsi="Cambria"/>
        </w:rPr>
        <w:t xml:space="preserve">Additionally, the sizing of wetlands could be increased at certain sites, which could increase the overall improvement to the catchment. </w:t>
      </w:r>
      <w:r w:rsidR="00E65EDB">
        <w:rPr>
          <w:rFonts w:ascii="Cambria" w:hAnsi="Cambria"/>
        </w:rPr>
        <w:t>Interventions to reduce</w:t>
      </w:r>
      <w:r>
        <w:rPr>
          <w:rFonts w:ascii="Cambria" w:hAnsi="Cambria"/>
        </w:rPr>
        <w:t xml:space="preserve"> nutrients </w:t>
      </w:r>
      <w:r w:rsidR="00E65EDB">
        <w:rPr>
          <w:rFonts w:ascii="Cambria" w:hAnsi="Cambria"/>
        </w:rPr>
        <w:t xml:space="preserve">in the upper </w:t>
      </w:r>
      <w:r w:rsidR="00053E5F">
        <w:rPr>
          <w:rFonts w:ascii="Cambria" w:hAnsi="Cambria"/>
        </w:rPr>
        <w:t>river catchment</w:t>
      </w:r>
      <w:r>
        <w:rPr>
          <w:rFonts w:ascii="Cambria" w:hAnsi="Cambria"/>
        </w:rPr>
        <w:t xml:space="preserve">, could create a more substantial improvement in the lower catchment, as suggested by Feld, Fernandes &amp; Ferreira (2018). This could be modelled in the Salmons Brook catchment, </w:t>
      </w:r>
      <w:r w:rsidR="00E65EDB">
        <w:rPr>
          <w:rFonts w:ascii="Cambria" w:hAnsi="Cambria"/>
        </w:rPr>
        <w:t xml:space="preserve">where the upper catchment is </w:t>
      </w:r>
      <w:r>
        <w:rPr>
          <w:rFonts w:ascii="Cambria" w:hAnsi="Cambria"/>
        </w:rPr>
        <w:t xml:space="preserve">dominated by </w:t>
      </w:r>
      <w:r w:rsidR="00E65EDB">
        <w:rPr>
          <w:rFonts w:ascii="Cambria" w:hAnsi="Cambria"/>
        </w:rPr>
        <w:t>agricultural land-use.</w:t>
      </w:r>
    </w:p>
    <w:p w14:paraId="6030D492" w14:textId="77777777" w:rsidR="00DC777F" w:rsidRDefault="005260E2" w:rsidP="00977F5C">
      <w:pPr>
        <w:spacing w:line="276" w:lineRule="auto"/>
      </w:pPr>
      <w:r>
        <w:rPr>
          <w:noProof/>
          <w:lang w:eastAsia="en-GB"/>
        </w:rPr>
        <mc:AlternateContent>
          <mc:Choice Requires="wpg">
            <w:drawing>
              <wp:anchor distT="0" distB="0" distL="114300" distR="114300" simplePos="0" relativeHeight="251656192" behindDoc="0" locked="0" layoutInCell="1" allowOverlap="1" wp14:anchorId="3A991E49" wp14:editId="513C0DCB">
                <wp:simplePos x="0" y="0"/>
                <wp:positionH relativeFrom="margin">
                  <wp:posOffset>0</wp:posOffset>
                </wp:positionH>
                <wp:positionV relativeFrom="paragraph">
                  <wp:posOffset>652145</wp:posOffset>
                </wp:positionV>
                <wp:extent cx="5075555" cy="3364230"/>
                <wp:effectExtent l="0" t="0" r="10795" b="7620"/>
                <wp:wrapTopAndBottom/>
                <wp:docPr id="10" name="Group 10"/>
                <wp:cNvGraphicFramePr/>
                <a:graphic xmlns:a="http://schemas.openxmlformats.org/drawingml/2006/main">
                  <a:graphicData uri="http://schemas.microsoft.com/office/word/2010/wordprocessingGroup">
                    <wpg:wgp>
                      <wpg:cNvGrpSpPr/>
                      <wpg:grpSpPr>
                        <a:xfrm>
                          <a:off x="0" y="0"/>
                          <a:ext cx="5075555" cy="3364230"/>
                          <a:chOff x="-338651" y="-233386"/>
                          <a:chExt cx="4262951" cy="3209236"/>
                        </a:xfrm>
                      </wpg:grpSpPr>
                      <wpg:graphicFrame>
                        <wpg:cNvPr id="3" name="Chart 3"/>
                        <wpg:cNvFrPr/>
                        <wpg:xfrm>
                          <a:off x="-69850" y="-233386"/>
                          <a:ext cx="3994150" cy="2317750"/>
                        </wpg:xfrm>
                        <a:graphic>
                          <a:graphicData uri="http://schemas.openxmlformats.org/drawingml/2006/chart">
                            <c:chart xmlns:c="http://schemas.openxmlformats.org/drawingml/2006/chart" xmlns:r="http://schemas.openxmlformats.org/officeDocument/2006/relationships" r:id="rId10"/>
                          </a:graphicData>
                        </a:graphic>
                      </wpg:graphicFrame>
                      <wps:wsp>
                        <wps:cNvPr id="9" name="Text Box 9"/>
                        <wps:cNvSpPr txBox="1"/>
                        <wps:spPr>
                          <a:xfrm>
                            <a:off x="-338651" y="2150985"/>
                            <a:ext cx="4262951" cy="824865"/>
                          </a:xfrm>
                          <a:prstGeom prst="rect">
                            <a:avLst/>
                          </a:prstGeom>
                          <a:solidFill>
                            <a:prstClr val="white"/>
                          </a:solidFill>
                          <a:ln>
                            <a:noFill/>
                          </a:ln>
                          <a:effectLst/>
                        </wps:spPr>
                        <wps:txbx>
                          <w:txbxContent>
                            <w:p w14:paraId="1DC1B820" w14:textId="0307CD9A" w:rsidR="002832B4" w:rsidRPr="00896362" w:rsidRDefault="002832B4" w:rsidP="002832B4">
                              <w:pPr>
                                <w:pStyle w:val="Caption"/>
                                <w:rPr>
                                  <w:b w:val="0"/>
                                  <w:noProof/>
                                </w:rPr>
                              </w:pPr>
                              <w:r w:rsidRPr="00896362">
                                <w:rPr>
                                  <w:b w:val="0"/>
                                </w:rPr>
                                <w:t xml:space="preserve">Figure </w:t>
                              </w:r>
                              <w:r w:rsidR="00187BFE">
                                <w:rPr>
                                  <w:b w:val="0"/>
                                </w:rPr>
                                <w:fldChar w:fldCharType="begin"/>
                              </w:r>
                              <w:r w:rsidR="00187BFE">
                                <w:rPr>
                                  <w:b w:val="0"/>
                                </w:rPr>
                                <w:instrText xml:space="preserve"> STYLEREF 1 \s </w:instrText>
                              </w:r>
                              <w:r w:rsidR="00187BFE">
                                <w:rPr>
                                  <w:b w:val="0"/>
                                </w:rPr>
                                <w:fldChar w:fldCharType="separate"/>
                              </w:r>
                              <w:r w:rsidR="00187BFE">
                                <w:rPr>
                                  <w:b w:val="0"/>
                                  <w:noProof/>
                                </w:rPr>
                                <w:t>5</w:t>
                              </w:r>
                              <w:r w:rsidR="00187BFE">
                                <w:rPr>
                                  <w:b w:val="0"/>
                                </w:rPr>
                                <w:fldChar w:fldCharType="end"/>
                              </w:r>
                              <w:r w:rsidR="00187BFE">
                                <w:rPr>
                                  <w:b w:val="0"/>
                                </w:rPr>
                                <w:noBreakHyphen/>
                              </w:r>
                              <w:r w:rsidR="00187BFE">
                                <w:rPr>
                                  <w:b w:val="0"/>
                                </w:rPr>
                                <w:fldChar w:fldCharType="begin"/>
                              </w:r>
                              <w:r w:rsidR="00187BFE">
                                <w:rPr>
                                  <w:b w:val="0"/>
                                </w:rPr>
                                <w:instrText xml:space="preserve"> SEQ Figure \* ARABIC \s 1 </w:instrText>
                              </w:r>
                              <w:r w:rsidR="00187BFE">
                                <w:rPr>
                                  <w:b w:val="0"/>
                                </w:rPr>
                                <w:fldChar w:fldCharType="separate"/>
                              </w:r>
                              <w:r w:rsidR="00187BFE">
                                <w:rPr>
                                  <w:b w:val="0"/>
                                  <w:noProof/>
                                </w:rPr>
                                <w:t>1</w:t>
                              </w:r>
                              <w:r w:rsidR="00187BFE">
                                <w:rPr>
                                  <w:b w:val="0"/>
                                </w:rPr>
                                <w:fldChar w:fldCharType="end"/>
                              </w:r>
                              <w:r w:rsidRPr="00896362">
                                <w:rPr>
                                  <w:b w:val="0"/>
                                </w:rPr>
                                <w:t xml:space="preserve"> Water quality improvements for the Salmons Brook catchment showing a 7% reduction in ammonium once 5 wetlands are implemented. The darker blue area represents the baseline data, the lighter blue area represents the scenario, the green line represents the threshold required to achieve ‘good’ status for a water body as defined by the </w:t>
                              </w:r>
                              <w:r w:rsidR="00756B15">
                                <w:rPr>
                                  <w:b w:val="0"/>
                                </w:rPr>
                                <w:t>W</w:t>
                              </w:r>
                              <w:r w:rsidR="00756B15" w:rsidRPr="00896362">
                                <w:rPr>
                                  <w:b w:val="0"/>
                                </w:rPr>
                                <w:t xml:space="preserve">ater </w:t>
                              </w:r>
                              <w:r w:rsidR="00756B15">
                                <w:rPr>
                                  <w:b w:val="0"/>
                                </w:rPr>
                                <w:t>F</w:t>
                              </w:r>
                              <w:r w:rsidRPr="00896362">
                                <w:rPr>
                                  <w:b w:val="0"/>
                                </w:rPr>
                                <w:t xml:space="preserve">ramework </w:t>
                              </w:r>
                              <w:r w:rsidR="00756B15">
                                <w:rPr>
                                  <w:b w:val="0"/>
                                </w:rPr>
                                <w:t>D</w:t>
                              </w:r>
                              <w:r w:rsidRPr="00896362">
                                <w:rPr>
                                  <w:b w:val="0"/>
                                </w:rPr>
                                <w:t xml:space="preserve">irective.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7" style="position:absolute;margin-left:0;margin-top:51.35pt;width:399.65pt;height:264.9pt;z-index:251656192;mso-position-horizontal-relative:margin;mso-width-relative:margin;mso-height-relative:margin" coordorigin="-3386,-2333" coordsize="42629,32092"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BhI/so3&#10;AwAAggcAAA4AAABkcnMvZTJvRG9jLnhtbJxV30/bMBB+n7T/wfJ7SZu0pY1oUVdWhIQACSaeXcdp&#10;IiW2Z7tN2F+/848EaJHG6EN6Z5/Pd999d764bOsKHZjSpeALPDobYsQ4FVnJdwv862kzmGGkDeEZ&#10;qQRnC/zCNL5cfv920ciUxaIQVcYUAidcp41c4MIYmUaRpgWriT4TknHYzIWqiQFV7aJMkQa811UU&#10;D4fTqBEqk0pQpjWsXvlNvHT+85xRc5/nmhlULTDEZtxXue/WfqPlBUl3isiipCEM8oUoalJyuLR3&#10;dUUMQXtVnriqS6qEFrk5o6KORJ6XlLkcIJvR8CibayX20uWyS5ud7GECaI9w+rJbend4UKjMoHYA&#10;Dyc11Mhdi0AHcBq5S8HmWslH+aDCws5rNt82V7X9h0xQ62B96WFlrUEUFifD8wn8MKKwlyTTcZwE&#10;4GkB1bHnBkkym05GGIHFIE6s5ktDi5/ByziexnNr4rzEw3mcOJuoCyKysfahecXVdaMgrT6VkG7S&#10;ZbsuiDIoeZPsRvWZHqU3mM5nE8DpOMou02Q+H4+sgY0xTkbn56AAaC60zldg22fY8m/6Uxs9UISm&#10;TgoUoScE+ayn4AA65IhhHzjw7L0SdF8zbnw7KlYRA7NAF6XUGKnUUkvdZCMHw7v+AFh6PUAUoOkL&#10;BjNBv9JenwT1X7R/LIhkrpu0pXTgwbzjwZMt4g/RormngjOypEemhWVokG5dw+IH3H/L4RhYAFSx&#10;J0jaseMdg2fxGBgfUOmoIZU210zUyAqAG4wvCJik5HCrjeURSTsTu6xFVWabsqqsYjfWlUIHAqOu&#10;KUrDgvN3VhW3tlzYU96hX2FuVoZbGqlTn6SVTLtt/YToANiK7AVwUcKPUy3ppoTbb4k2D0TB/IQO&#10;gDfB3MMnr0SzwCJIGBVC/flo3dpDfWEXowbm8QLr33uiGEbVDYfKg0vTCaoTtp3A9/VaQN4wHiAa&#10;J8IBZapOzJWon+GpWNlbYItwCnctsOnEtfGvAjw1lK1WzghGtCTmlj9KaKiRq4RF+al9JkqGGhmo&#10;7p3ouHVSKm/rMV/tjchLV0eLq0fRMd/xPPQADHpX6NAL9iV5qzur16dz+RcAAP//AwBQSwMEFAAG&#10;AAgAAAAhAJRf+PbqAAAAxwEAACAAAABkcnMvY2hhcnRzL19yZWxzL2NoYXJ0MS54bWwucmVsc6yR&#10;QUsDMRCF74L/IczdZLcHEWm2ICr0IAWpPyAms7tps5mQRGn/vVNlwULBi5eB4WW+93hZrg5TEJ+Y&#10;i6eooZUNCIyWnI+Dhrft880diFJNdCZQRA1HLLDqrq+WrxhM5aMy+lQEU2LRMNaa7pUqdsTJFEkJ&#10;Iys95clUXvOgkrF7M6BaNM2tyr8Z0J0xxdppyGu3ALE9Jnb+m0197y0+kv2YMNYLFooCbt53aCtD&#10;TR6wangg2rfz+kKOnZ4OFXM0AdTlSKfn/xapclW44R/I3uGcQ4OU6lv5mbPeSq7zFEud1d99AQ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XdS0+AAAAAIAQAADwAAAGRycy9kb3ducmV2&#10;LnhtbEyPzU7DMBCE70i8g7VI3Kjzo7Y0xKmqCjhVSLRIiJsbb5Oo8TqK3SR9e5YTPc7OauabfD3Z&#10;VgzY+8aRgngWgUAqnWmoUvB1eHt6BuGDJqNbR6jgih7Wxf1drjPjRvrEYR8qwSHkM62gDqHLpPRl&#10;jVb7meuQ2Du53urAsq+k6fXI4baVSRQtpNUNcUOtO9zWWJ73F6vgfdTjJo1fh935tL3+HOYf37sY&#10;lXp8mDYvIAJO4f8Z/vAZHQpmOroLGS9aBTwk8DVKliDYXq5WKYijgkWazEEWubwdUPwCAAD//wMA&#10;UEsDBBQABgAIAAAAIQC0J85gPAkAAH4pAAAVAAAAZHJzL2NoYXJ0cy9jaGFydDEueG1s7FpZc9s4&#10;En7fqv0PWlbetmyJOqijIk/ZcjmbWV+Jk5mqfYNISOYKJDggKNv59duNgwIZwVEyu7OeVPRgg2AD&#10;aDS6vz7A1z89ZqyzpaJMeT4PwuNe0KF5zJM0X8+Djx8ujiZBp5QkTwjjOZ0HT7QMfjr5619ex7P4&#10;ngh5V5CYdmCSvJzF8+BeymLW7ZbxPc1IecwLmsO7FRcZkfAo1t1EkAeYPGPdfq8XddUkgZmAfMME&#10;GUlzO14cMp6vVmlMz3lcZTSXmgtBGZEggfI+LcrgBDaXEEnDaW/Y2RI2D3pBFzsZyde6g+ZHb850&#10;p+BVntBkwUUOYnTos3h2yiQVOUy14LmE1cw+s4MklRGxqYqjmGcFMLdMWSqfFLvAIMy9uOewj857&#10;+luVClrOgzgcWkFA8zNRZGkseMlX8hhm7Gop2NPAacfdSbdvzgM2Gw5npXxiVG8o7PVxt916XcXC&#10;BWFsSeINysYhrkl373FgWxg4KmbiihQ3W9FZrsN5wGQYdOQjtJINtJbrPvb1sQ9ayQZaJI5BkEBh&#10;GrYH3uuemmZgewaWBoSiaUBQujGyPSPbE9meKOjcszTfgCDxX9BZcfYP3WFbWgGUCuNmZCoZVY1H&#10;/CvS+P7kNZktefJ0KzqCS1SkTlnEF6ko5SUp5S0RoPOwU7BAeQN/Vow/zAPKGOhhWup+YICLT0Hn&#10;QZBiHpS/VURQ4DaPoRtOXQr7sJDwHCJTZMZKeYfHpx4K7CluBf5L6Oo9cFN+AtJhD/hZKq5S9bea&#10;BzmYOZq8SDdg7jm/U62gswFFhiGgKGoLinxJSgoSAboe6CSZlZylyUXKmHpADKALJrQGwakqGlZl&#10;VzzRfdGoB9NpfqvsZrXS3QPb3YUp7SygfK0F0GTzjnwq6AowaB78PcuPmNTTUdJ6QYl+EZetF3GJ&#10;L2BuLRjVNKJS8hIgLLR7OJX86OOdnkWenGYZz9Mqw5FSDQJqaIOou/booSGVJjDyxCsJy8QzDocM&#10;j3qjBlZKs17OUXZaHDmKsO6AiZnqoasVjeVliZPB9HokrmNVj1SSf8CHc8qopEbQZqGCcXkqKEFG&#10;HJ6WRCwQy7Eb2uepObKYM9xuPFsDxhUA2prrmFUlwBpN9MstEU8LzngD+4A1CgKJZ2ny2NgrFwk1&#10;0xumtIi2J3dpVsGR0gQ3tlXb06+seJ7TLgsGKJa2mnyNKIHhHG3x7eqarkG/tgb/DK8xUUIC63hP&#10;V7i91ckC4VmkJc//9ursVTSDP+EEt6DeA+WCgAojbSEX4CqkFkc40NIrZAdEpA0It31LRcodERRq&#10;QUuFJoRUP5N8J6UmSd+QXNClj2RgSK6I8JEMDclp4SUZ1bM8+WaJDMnPlZfdcU3CfLNMLC/V2kcy&#10;NSR3tPCRhAhRKLubWHpprHyv+dZLYwV8TuMmDdpjfdz6QWkJNI3eQCyBPORVtld9LlB9Llz1Acpa&#10;fXQQteAJPXlDIdQgSmBO76Eq1jse97WKaitr6o8VQe84Gg/GU+c3am4XFVrrrpUITNybInbXv75v&#10;iFXB3vEkHEycRaaRb4hVSRgSjcb1EtAY+IZYFYW9RJOBOyT0DbEqi9ufRi5jY98Qq8JKYu4ivaFv&#10;iFVpGBL2J+4YL2NWxWH7w7AhZO/2a5XHE+9F7jLegwmd8x8NBq4AFKrtVRlHAUZR42haEgBT2Km0&#10;frAmomwDrUb7jbb7UGENuM+d+zA9tfuAsBBwmO9E/vXeA32uG59AfLQvPlGSRPhGV/NMfPLD8QBE&#10;aM+ngcJa/Q/H0xJMbXX/H8dzjY7n+g9wPFE0hQRi9/PDkHHWCJDTBnK1EGWfF4qGDQzqeVex+gj4&#10;OBgfBsM7LzSejg5zj44X6o8be/F6VMcLDRQI1SLz+gfHCw3Cxl68/mHnhWAnDV833aFo04J3Xmg8&#10;hsN0ft69OF4omoRhvRNoeM+ytgc4/14jPJh6WQt3Xiiagr9zfq11DvdCyeWSlYhg5T1/uKRrmif/&#10;pK3kDd78QqCG5tSJkHpB5DXJmukD9t9RsbcfAn8sbHw2z1m1XDJ6l35yp4Id1KytSfFrmsh7k1eM&#10;TKpCHt+a5C8cDnrRcDic6Iyj9SLqD9UImNLNAzGtr5PCZv6ny4Hi69I/VRNq+G/TY7y0J6N690rp&#10;1Rdyqf2p1BveTqQwvPBE6M1ggeUdKMP0J6Mx1IViLLuIPAFIaqWWtfPXstdJaGQjA7cYooqEOmJ4&#10;JpGPZ1jzMwHQU7bkRq1UTQZHuwRfSCbeIaa/+yMw3YcVTiTpI3FM1keyw+gDMgMviYPBvoUczPWR&#10;OBjrI9lhqpeXHYZ6SVzM9K3kYqSXxitgUKVnI3GwlIxziyoWIUxUXmPPC4ZFbUkGFDVAfLajeNYC&#10;w0NQsoGMkNifqhKfd6IyJjBijU6EixQQXl00aL6yNL8ijwovQN47wkTV7jRNDee33FwuLPVu4Pgu&#10;MglVabxbwbLAPDB1ASjQ8gq8ySWUrWliSsIIHf/m4kMabyD83ujJLbDAyzT3v5QwCDxhzUFOH+UH&#10;boS6r3iJ6Dkd9S14rqCuBziaFcBMma+hXs3WUEyOoXT9JUzdVzZW6S+urrK1umw8OaxsfCgUy0dd&#10;MHfL90c2fFM18BdSxp9+YxX/O6/eQ6yG1yt42dGq39dlen3EUJ6Di7Hy1BSqVbhkoyLzjhrTw+r6&#10;v6gwqo9PDYBhS3YKmq37ULtBR6HSvmSgoyW1lV9dUgD85VcVk+nlloFtOcYO0FzDCjj5vfiy48+B&#10;jf8Svpiiv4KLNyJNEPB0EGxMXUdHf277VqEU4GFjg/Utio4G913gHY10PvaSAABzqm+6x/vOEUCg&#10;h/Dc32XrLtTPX9bd3Uv26CjKA68j8dbzh+v8M198/y7XuYuhlVvd7zrVqzMqHyg17nKpH9BlAjbX&#10;fs9e/ta6hzfhKjlHIFbhY/0KzPmZ5Bpmbdx/q2qO8s+qVQe31mv/b+/s9xvJi/o85EdcCQr1+Vch&#10;BxsHKByrlQxV75e0vMmZKR+a66skLYsziE835amJMaGeZzIrqBaeQ2hY4odBkCe2QkT7xYa1kOc+&#10;j4CPq5RhtepX30Mg1zYknRY+//UTYkz9QdTB5xnPIO3Fz/nYOZGkI+DbFqgLvk10jQWTgY8FfjbY&#10;PCd3jII29bmY+mzy5D8AAAD//wMAUEsDBBQABgAIAAAAIQBqX7zi9gUAACUZAAAcAAAAZHJzL3Ro&#10;ZW1lL3RoZW1lT3ZlcnJpZGUxLnhtbOxZz48bNRS+I/E/jOYOSXbzo1k1W+3mRxe621ZNWtSjk3Fm&#10;3HjGI9vZbW6oPSIhIQriQCVuHBBQqZW4lL9moQiK1H+BZ89kxk4ctl0VaYWaSKuM53vPn997/p5n&#10;9vKV+zH1jjEXhCUdv/Zh1fdwMmEBScKOf3s0+OCS7wmJkgBRluCOv8DCv7L7/nuX0Y6McIxvgC0n&#10;AfbATyJ2UMePpEx3KhUxgdtIfMhSnMC9KeMxknDJw0rA0Qn4j2llq1ptVmJEEn8XHE4oHyor7CUo&#10;hrluTKdkgvWtYFZTCLEQXcq9Y0Q7PrgI2MkI35e+R5GQcKPjV/XHr+xerqCd3IjKDbaG3UB/crvc&#10;IJht6Tl5OC4mrdcb9eZe4V8DqFzH9Vv9Zr9Z+NMANJngJOdi+mzst/d7jRxrgLKfDt+9Vm+7ZuEN&#10;/9trnPca6mvhNSjzX1/DDwZdiKKF16AM31jD1+utrW7dwmtQhm+u4VvVvV69ZeE1KKIkma2hq43m&#10;dne52gIyZfTACW836oPWVu68REE1FNWlppiyRG6qtRjdY3wAAAWkSJLEk4sUT9EEarKLKBlz4h2S&#10;MILCS1HCBAxXt6qD6jb8Vd+6/qUjgnYwMqwVL2Ai1oYUH09MOEllx/8YvPoG5NXzH189f+qdPnh2&#10;+uCX04cPTx/8nDmyrA5QEppWL7//4u/Hn3p/Pf3u5aOv3Hhh4n//6bPffv3SDYSVliF48fWTP549&#10;efHN53/+8MgB3+NobMJHJMbCu45PvFsshoXpENjM8Zi/mcUoQsS02EtCgRKkZnH478vIQl9fIIoc&#10;uH1sR/AOB4lxAa/O71mEhxGfS+LweC2KLeARY3SfcWcUrqm5jDCP5knonpzPTdwthI5dc3dRYuW3&#10;P09BW4nLZTfCFs2bFCUShTjB0lP32Axjx+ruEmLF9YhMOBNsKr27xNtHxBmSERlb1VQaHZAY8rJw&#10;EYR8W7E5uuPtM+padQ8f20jYFYg6yI8wtcJ4Fc0lil0uRyimZsAPkYxcJIcLPjFxfSEh0yGmzOsH&#10;WAiXzQ0O6zWSfg3kxZ32I7qIbSSXZObyeYgYM5E9NutGKE5d2CFJIhP7kZhBiSLvJpMu+BGzd4i6&#10;hjygZGO67xBspftsNbgNympSKgtE3ZlzRy6vYmbV73BBpwhrqQHht/Q8JsmZ4r4i643/VtZBSF98&#10;+9ixqosq6HucOHfUwYqMb8KtineX8YBcfO3uoXlyE8N2WW9g76T7nXT7/3vp3rSf375glxoN8q2O&#10;itlRXR/c443n9imhdCgXFB8KfXQX0JmCAQwqO/04iovnuDSCn2onwwQWLuRI23icyU+IjIYRSuF8&#10;X/OVk1DkrkPhpUzAsV8PO30rPJ3HRyzIHldrNfVomomHQLIcrzaKcXjUkBm62SofwQr3mm0oMiYZ&#10;AWX7JiSMyWwS2w4SreWgCpJ+MIegOUjolb0VFm0Hi0vK/TJVayyAWpEVODp5cODq+I06mIARPFEh&#10;igOVpyzVy+zqEL7NTG8KplUBcI5YVkCZ6bbiunF5anWvnWmLhFFuNgkdGd3DRITgxY1+mZKnMN8Q&#10;a1EuabxprttlSi16KhTL3VDSaF36t2CcN9dgt6oNNDGVgibeScdvbjegZCYo7fhTeOyHn3EKtSPU&#10;kRfREF6PTSTPNvx5lCXlQvaQiLKAa9HJ1CAmEnOPkrjjq+UX1UATrSGaW20LBOHCkmuDrFw0cpB0&#10;O8l4OsUTaabdGFGRzi5B4bNd4Lyrzc8PVpZsDukeRsGJN6ZzfgtBiTVaNRXAgAh4+1PLohkQeJ1Z&#10;CFlZfyuNKZdd832irqFsHNE0QnlHMcU8g2spL+joqyIGxlW+ZgioEZK8EY5D1WDNoFrdtOgaGYeN&#10;XfdsIxU5QzTLnmmpiuqabjG1Zli2gZVYnq/JG6yWIYZ2aXb4rEmvSm57qXUr54SiS0DAi/g5uu5r&#10;tH6DWjmZRU0xXpdhpdn5qN07lgs8g9rrNAmj+TSXblfiVvQI53QweK7OD3arVQtD0+W5Ukfa+tfG&#10;7j8AAAD//wMAUEsBAi0AFAAGAAgAAAAhAEAf9EEwAQAA4AIAABMAAAAAAAAAAAAAAAAAAAAAAFtD&#10;b250ZW50X1R5cGVzXS54bWxQSwECLQAUAAYACAAAACEAOP0h/9YAAACUAQAACwAAAAAAAAAAAAAA&#10;AABhAQAAX3JlbHMvLnJlbHNQSwECLQAUAAYACAAAACEAGEj+yjcDAACCBwAADgAAAAAAAAAAAAAA&#10;AABgAgAAZHJzL2Uyb0RvYy54bWxQSwECLQAUAAYACAAAACEAlF/49uoAAADHAQAAIAAAAAAAAAAA&#10;AAAAAADDBQAAZHJzL2NoYXJ0cy9fcmVscy9jaGFydDEueG1sLnJlbHNQSwECLQAUAAYACAAAACEA&#10;qxbNRrkAAAAiAQAAGQAAAAAAAAAAAAAAAADrBgAAZHJzL19yZWxzL2Uyb0RvYy54bWwucmVsc1BL&#10;AQItABQABgAIAAAAIQD9d1LT4AAAAAgBAAAPAAAAAAAAAAAAAAAAANsHAABkcnMvZG93bnJldi54&#10;bWxQSwECLQAUAAYACAAAACEAtCfOYDwJAAB+KQAAFQAAAAAAAAAAAAAAAADoCAAAZHJzL2NoYXJ0&#10;cy9jaGFydDEueG1sUEsBAi0AFAAGAAgAAAAhAGpfvOL2BQAAJRkAABwAAAAAAAAAAAAAAAAAVxIA&#10;AGRycy90aGVtZS90aGVtZU92ZXJyaWRlMS54bWxQSwUGAAAAAAgACAAVAgAAhx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3" o:spid="_x0000_s1028" type="#_x0000_t75" style="position:absolute;left:-724;top:-2392;width:40038;height:2331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fds&#10;PMIAAADaAAAADwAAAGRycy9kb3ducmV2LnhtbESPQWsCMRSE74X+h/AKXkrNqlRkaxSxKl67rgdv&#10;j81zs7h5WTapxn9vhEKPw8x8w8yX0bbiSr1vHCsYDTMQxJXTDdcKysP2YwbCB2SNrWNScCcPy8Xr&#10;yxxz7W78Q9ci1CJB2OeowITQ5VL6ypBFP3QdcfLOrrcYkuxrqXu8Jbht5TjLptJiw2nBYEdrQ9Wl&#10;+LUKToUsNZ0+34/NyNXH3XeMm8woNXiLqy8QgWL4D/+191rBBJ5X0g2QiwcAAAD//wMAUEsBAi0A&#10;FAAGAAgAAAAhALaDOJL+AAAA4QEAABMAAAAAAAAAAAAAAAAAAAAAAFtDb250ZW50X1R5cGVzXS54&#10;bWxQSwECLQAUAAYACAAAACEAOP0h/9YAAACUAQAACwAAAAAAAAAAAAAAAAAvAQAAX3JlbHMvLnJl&#10;bHNQSwECLQAUAAYACAAAACEAMy8FnkEAAAA5AAAADgAAAAAAAAAAAAAAAAAuAgAAZHJzL2Uyb0Rv&#10;Yy54bWxQSwECLQAUAAYACAAAACEA/fdsPMIAAADaAAAADwAAAAAAAAAAAAAAAACbAgAAZHJzL2Rv&#10;d25yZXYueG1sUEsFBgAAAAAEAAQA8wAAAIoDAAAAAA==&#10;">
                  <v:imagedata r:id="rId11" o:title=""/>
                  <o:lock v:ext="edit" aspectratio="f"/>
                </v:shape>
                <v:shapetype id="_x0000_t202" coordsize="21600,21600" o:spt="202" path="m,l,21600r21600,l21600,xe">
                  <v:stroke joinstyle="miter"/>
                  <v:path gradientshapeok="t" o:connecttype="rect"/>
                </v:shapetype>
                <v:shape id="Text Box 9" o:spid="_x0000_s1029" type="#_x0000_t202" style="position:absolute;left:-3386;top:21509;width:42629;height:8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14:paraId="1DC1B820" w14:textId="0307CD9A" w:rsidR="002832B4" w:rsidRPr="00896362" w:rsidRDefault="002832B4" w:rsidP="002832B4">
                        <w:pPr>
                          <w:pStyle w:val="Caption"/>
                          <w:rPr>
                            <w:b w:val="0"/>
                            <w:noProof/>
                          </w:rPr>
                        </w:pPr>
                        <w:r w:rsidRPr="00896362">
                          <w:rPr>
                            <w:b w:val="0"/>
                          </w:rPr>
                          <w:t xml:space="preserve">Figure </w:t>
                        </w:r>
                        <w:r w:rsidR="00187BFE">
                          <w:rPr>
                            <w:b w:val="0"/>
                          </w:rPr>
                          <w:fldChar w:fldCharType="begin"/>
                        </w:r>
                        <w:r w:rsidR="00187BFE">
                          <w:rPr>
                            <w:b w:val="0"/>
                          </w:rPr>
                          <w:instrText xml:space="preserve"> STYLEREF 1 \s </w:instrText>
                        </w:r>
                        <w:r w:rsidR="00187BFE">
                          <w:rPr>
                            <w:b w:val="0"/>
                          </w:rPr>
                          <w:fldChar w:fldCharType="separate"/>
                        </w:r>
                        <w:r w:rsidR="00187BFE">
                          <w:rPr>
                            <w:b w:val="0"/>
                            <w:noProof/>
                          </w:rPr>
                          <w:t>5</w:t>
                        </w:r>
                        <w:r w:rsidR="00187BFE">
                          <w:rPr>
                            <w:b w:val="0"/>
                          </w:rPr>
                          <w:fldChar w:fldCharType="end"/>
                        </w:r>
                        <w:r w:rsidR="00187BFE">
                          <w:rPr>
                            <w:b w:val="0"/>
                          </w:rPr>
                          <w:noBreakHyphen/>
                        </w:r>
                        <w:r w:rsidR="00187BFE">
                          <w:rPr>
                            <w:b w:val="0"/>
                          </w:rPr>
                          <w:fldChar w:fldCharType="begin"/>
                        </w:r>
                        <w:r w:rsidR="00187BFE">
                          <w:rPr>
                            <w:b w:val="0"/>
                          </w:rPr>
                          <w:instrText xml:space="preserve"> SEQ Figure \* ARABIC \s 1 </w:instrText>
                        </w:r>
                        <w:r w:rsidR="00187BFE">
                          <w:rPr>
                            <w:b w:val="0"/>
                          </w:rPr>
                          <w:fldChar w:fldCharType="separate"/>
                        </w:r>
                        <w:r w:rsidR="00187BFE">
                          <w:rPr>
                            <w:b w:val="0"/>
                            <w:noProof/>
                          </w:rPr>
                          <w:t>1</w:t>
                        </w:r>
                        <w:r w:rsidR="00187BFE">
                          <w:rPr>
                            <w:b w:val="0"/>
                          </w:rPr>
                          <w:fldChar w:fldCharType="end"/>
                        </w:r>
                        <w:r w:rsidRPr="00896362">
                          <w:rPr>
                            <w:b w:val="0"/>
                          </w:rPr>
                          <w:t xml:space="preserve"> Water quality improvements for the Salmons Brook catchment showing a 7% reduction in ammonium once 5 wetlands are implemented. The darker blue area represents the baseline data, the lighter blue area represents the scenario, the green line represents the threshold required to achieve ‘good’ status for a water body as defined by the </w:t>
                        </w:r>
                        <w:r w:rsidR="00756B15">
                          <w:rPr>
                            <w:b w:val="0"/>
                          </w:rPr>
                          <w:t>W</w:t>
                        </w:r>
                        <w:r w:rsidR="00756B15" w:rsidRPr="00896362">
                          <w:rPr>
                            <w:b w:val="0"/>
                          </w:rPr>
                          <w:t xml:space="preserve">ater </w:t>
                        </w:r>
                        <w:r w:rsidR="00756B15">
                          <w:rPr>
                            <w:b w:val="0"/>
                          </w:rPr>
                          <w:t>F</w:t>
                        </w:r>
                        <w:r w:rsidRPr="00896362">
                          <w:rPr>
                            <w:b w:val="0"/>
                          </w:rPr>
                          <w:t xml:space="preserve">ramework </w:t>
                        </w:r>
                        <w:r w:rsidR="00756B15">
                          <w:rPr>
                            <w:b w:val="0"/>
                          </w:rPr>
                          <w:t>D</w:t>
                        </w:r>
                        <w:r w:rsidRPr="00896362">
                          <w:rPr>
                            <w:b w:val="0"/>
                          </w:rPr>
                          <w:t xml:space="preserve">irective. </w:t>
                        </w:r>
                      </w:p>
                    </w:txbxContent>
                  </v:textbox>
                </v:shape>
                <w10:wrap type="topAndBottom" anchorx="margin"/>
              </v:group>
            </w:pict>
          </mc:Fallback>
        </mc:AlternateContent>
      </w:r>
      <w:r w:rsidR="00441B32">
        <w:br w:type="page"/>
      </w:r>
    </w:p>
    <w:p w14:paraId="4C57E012" w14:textId="77777777" w:rsidR="00441B32" w:rsidRDefault="005260E2" w:rsidP="00977F5C">
      <w:pPr>
        <w:spacing w:line="276" w:lineRule="auto"/>
      </w:pPr>
      <w:r>
        <w:rPr>
          <w:noProof/>
          <w:lang w:eastAsia="en-GB"/>
        </w:rPr>
        <w:lastRenderedPageBreak/>
        <mc:AlternateContent>
          <mc:Choice Requires="wpg">
            <w:drawing>
              <wp:anchor distT="0" distB="0" distL="114300" distR="114300" simplePos="0" relativeHeight="251658240" behindDoc="0" locked="0" layoutInCell="1" allowOverlap="1" wp14:anchorId="69253616" wp14:editId="5398C867">
                <wp:simplePos x="0" y="0"/>
                <wp:positionH relativeFrom="margin">
                  <wp:posOffset>152400</wp:posOffset>
                </wp:positionH>
                <wp:positionV relativeFrom="paragraph">
                  <wp:posOffset>228601</wp:posOffset>
                </wp:positionV>
                <wp:extent cx="5154930" cy="3710304"/>
                <wp:effectExtent l="0" t="0" r="7620" b="5080"/>
                <wp:wrapTopAndBottom/>
                <wp:docPr id="13" name="Group 13"/>
                <wp:cNvGraphicFramePr/>
                <a:graphic xmlns:a="http://schemas.openxmlformats.org/drawingml/2006/main">
                  <a:graphicData uri="http://schemas.microsoft.com/office/word/2010/wordprocessingGroup">
                    <wpg:wgp>
                      <wpg:cNvGrpSpPr/>
                      <wpg:grpSpPr>
                        <a:xfrm>
                          <a:off x="0" y="0"/>
                          <a:ext cx="5154930" cy="3710304"/>
                          <a:chOff x="-16009" y="-379990"/>
                          <a:chExt cx="3981450" cy="3164984"/>
                        </a:xfrm>
                      </wpg:grpSpPr>
                      <wpg:graphicFrame>
                        <wpg:cNvPr id="14" name="Chart 14"/>
                        <wpg:cNvFrPr/>
                        <wpg:xfrm>
                          <a:off x="328242" y="-379990"/>
                          <a:ext cx="3220084" cy="2203806"/>
                        </wpg:xfrm>
                        <a:graphic>
                          <a:graphicData uri="http://schemas.openxmlformats.org/drawingml/2006/chart">
                            <c:chart xmlns:c="http://schemas.openxmlformats.org/drawingml/2006/chart" xmlns:r="http://schemas.openxmlformats.org/officeDocument/2006/relationships" r:id="rId12"/>
                          </a:graphicData>
                        </a:graphic>
                      </wpg:graphicFrame>
                      <wps:wsp>
                        <wps:cNvPr id="15" name="Text Box 15"/>
                        <wps:cNvSpPr txBox="1"/>
                        <wps:spPr>
                          <a:xfrm>
                            <a:off x="-16009" y="1960129"/>
                            <a:ext cx="3981450" cy="824865"/>
                          </a:xfrm>
                          <a:prstGeom prst="rect">
                            <a:avLst/>
                          </a:prstGeom>
                          <a:solidFill>
                            <a:prstClr val="white"/>
                          </a:solidFill>
                          <a:ln>
                            <a:noFill/>
                          </a:ln>
                          <a:effectLst/>
                        </wps:spPr>
                        <wps:txbx>
                          <w:txbxContent>
                            <w:p w14:paraId="3770217E" w14:textId="5728719F" w:rsidR="002832B4" w:rsidRPr="00896362" w:rsidRDefault="002832B4" w:rsidP="002832B4">
                              <w:pPr>
                                <w:pStyle w:val="Caption"/>
                                <w:rPr>
                                  <w:b w:val="0"/>
                                </w:rPr>
                              </w:pPr>
                              <w:r w:rsidRPr="00896362">
                                <w:rPr>
                                  <w:b w:val="0"/>
                                </w:rPr>
                                <w:t xml:space="preserve">Figure </w:t>
                              </w:r>
                              <w:r w:rsidR="00187BFE">
                                <w:rPr>
                                  <w:b w:val="0"/>
                                </w:rPr>
                                <w:fldChar w:fldCharType="begin"/>
                              </w:r>
                              <w:r w:rsidR="00187BFE">
                                <w:rPr>
                                  <w:b w:val="0"/>
                                </w:rPr>
                                <w:instrText xml:space="preserve"> STYLEREF 1 \s </w:instrText>
                              </w:r>
                              <w:r w:rsidR="00187BFE">
                                <w:rPr>
                                  <w:b w:val="0"/>
                                </w:rPr>
                                <w:fldChar w:fldCharType="separate"/>
                              </w:r>
                              <w:r w:rsidR="00187BFE">
                                <w:rPr>
                                  <w:b w:val="0"/>
                                  <w:noProof/>
                                </w:rPr>
                                <w:t>5</w:t>
                              </w:r>
                              <w:r w:rsidR="00187BFE">
                                <w:rPr>
                                  <w:b w:val="0"/>
                                </w:rPr>
                                <w:fldChar w:fldCharType="end"/>
                              </w:r>
                              <w:r w:rsidR="00187BFE">
                                <w:rPr>
                                  <w:b w:val="0"/>
                                </w:rPr>
                                <w:noBreakHyphen/>
                              </w:r>
                              <w:r w:rsidR="00187BFE">
                                <w:rPr>
                                  <w:b w:val="0"/>
                                </w:rPr>
                                <w:fldChar w:fldCharType="begin"/>
                              </w:r>
                              <w:r w:rsidR="00187BFE">
                                <w:rPr>
                                  <w:b w:val="0"/>
                                </w:rPr>
                                <w:instrText xml:space="preserve"> SEQ Figure \* ARABIC \s 1 </w:instrText>
                              </w:r>
                              <w:r w:rsidR="00187BFE">
                                <w:rPr>
                                  <w:b w:val="0"/>
                                </w:rPr>
                                <w:fldChar w:fldCharType="separate"/>
                              </w:r>
                              <w:r w:rsidR="00187BFE">
                                <w:rPr>
                                  <w:b w:val="0"/>
                                  <w:noProof/>
                                </w:rPr>
                                <w:t>2</w:t>
                              </w:r>
                              <w:r w:rsidR="00187BFE">
                                <w:rPr>
                                  <w:b w:val="0"/>
                                </w:rPr>
                                <w:fldChar w:fldCharType="end"/>
                              </w:r>
                              <w:r w:rsidRPr="00896362">
                                <w:rPr>
                                  <w:b w:val="0"/>
                                </w:rPr>
                                <w:t xml:space="preserve"> Water quality improvements for the Pymmes Brook catchment, showing a 28% reduction in ammonium once 16 wetlands are implemented. Dark blue bar shows before the scenario and light blue shows after the scenario, the green line indicates the threshold to achieve ‘good’ water body status as defined by the </w:t>
                              </w:r>
                              <w:r w:rsidR="00756B15">
                                <w:rPr>
                                  <w:b w:val="0"/>
                                </w:rPr>
                                <w:t>W</w:t>
                              </w:r>
                              <w:r w:rsidR="00756B15" w:rsidRPr="00896362">
                                <w:rPr>
                                  <w:b w:val="0"/>
                                </w:rPr>
                                <w:t xml:space="preserve">ater </w:t>
                              </w:r>
                              <w:r w:rsidR="00756B15">
                                <w:rPr>
                                  <w:b w:val="0"/>
                                </w:rPr>
                                <w:t>F</w:t>
                              </w:r>
                              <w:r w:rsidR="00756B15" w:rsidRPr="00896362">
                                <w:rPr>
                                  <w:b w:val="0"/>
                                </w:rPr>
                                <w:t xml:space="preserve">ramework </w:t>
                              </w:r>
                              <w:r w:rsidR="00756B15">
                                <w:rPr>
                                  <w:b w:val="0"/>
                                </w:rPr>
                                <w:t>D</w:t>
                              </w:r>
                              <w:r w:rsidR="00756B15" w:rsidRPr="00896362">
                                <w:rPr>
                                  <w:b w:val="0"/>
                                </w:rPr>
                                <w:t>irective</w:t>
                              </w:r>
                              <w:r w:rsidRPr="00896362">
                                <w:rPr>
                                  <w:b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3" o:spid="_x0000_s1030" style="position:absolute;margin-left:12pt;margin-top:18pt;width:405.9pt;height:292.15pt;z-index:251658240;mso-position-horizontal-relative:margin;mso-width-relative:margin;mso-height-relative:margin" coordorigin="-160,-3799" coordsize="39814,31649"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b5OHG+AAAAAJAQAADwAAAGRycy9k&#10;b3ducmV2LnhtbEyPTUvDQBCG74L/YRnBm9182FBiNqUU9VQEW0G8TbPTJDS7G7LbJP33jid7GoZ3&#10;eOd5ivVsOjHS4FtnFcSLCATZyunW1gq+Dm9PKxA+oNXYOUsKruRhXd7fFZhrN9lPGvehFlxifY4K&#10;mhD6XEpfNWTQL1xPlrOTGwwGXoda6gEnLjedTKIokwZbyx8a7GnbUHXeX4yC9wmnTRq/jrvzaXv9&#10;OSw/vncxKfX4MG9eQASaw/8x/OEzOpTMdHQXq73oFCTPrBIUpBlPzlfpklWOCrIkSkGWhbw1KH8B&#10;AAD//wMAUEsDBBQABgAIAAAAIQCrjATCOgMAAIQHAAAOAAAAZHJzL2Uyb0RvYy54bWycVU1P4zAQ&#10;va+0/8HyHfLVliaiRd2yRUgIkGDF2XWcJlISe22XhP31O3bsAC3SslySsT0ez3vzPD6/6JsaPTOp&#10;Kt4ucHQaYsRayvOq3S3wr8fNyRwjpUmbk5q3bIFfmMIXy+/fzjuRsZiXvM6ZRBCkVVknFrjUWmRB&#10;oGjJGqJOuWAtLBZcNkTDUO6CXJIOojd1EIfhLOi4zIXklCkFs5fDIl7a+EXBqL4rCsU0qhcYctP2&#10;K+13a77B8pxkO0lEWVGXBvlCFg2pWjh0DHVJNEF7WR2FaioqueKFPqW8CXhRVJRZDIAmCg/QXEm+&#10;FxbLLut2YqQJqD3g6cth6e3zvURVDrVLMGpJAzWyxyIYAzmd2GXgcyXFg7iXbmI3jAzevpCN+QMS&#10;1FtaX0ZaWa8RhclpNJ2kCbBPYS05i8IknAzE0xKqY/adRLMwTDECh5PkLE1TVxla/nRBknQeTaY+&#10;SDSbpHMbJPA5BCbVMbNhYMu6kYBqROLRTjzadUmkRpEN5tBu5Aj1AF8Sz+NJfJynh5rEIEpIzEIF&#10;O5mHMwPVJudjObl9Ri7/1j816YNGaGYtpxF6pJDPRnIB4IocSOyDAIN8LzndN6zVw32UrCYamoEq&#10;K6EwkpnRlrzOI0vDuwsCtIxjR5GjZiwZNAX1qnt1lNR/6f6hJILZ66SMpr0Spl4Jj6aKP3iPoqlJ&#10;thPWzege6R7m4Y74eQWTH8j/jYyjdBZGcWo2kGyUx1sRg5LmM3vSqGGSCan0FeMNMgYQBw0MMiYZ&#10;eb5R2gjp1cVMK15X+aaqazMwW9a1RM8Eml1XVpo5zt951a3xbbnZNQQcZpjtlu4Ug33AaCzdb3vb&#10;I2KPf8vzF6BF8qGhKkE3FZx+Q5S+JxI6KFxUeBX0HXyKmncLzJ2FUcnln4/mjT8UGFYx6qAjL7D6&#10;vSeSYVRft1B60769Ib2x9Ua7b9YccEfw3ghqTdggde3NQvLmCR6LlTkFlkhL4awF1t5c6+FdgMeG&#10;stXKOkGTFkTftA8CblRkK2FYfuyfiBSuRhqqe8u9uI5KNfgOnK/2mheVraPhdWDRSt8K3V0CaPW2&#10;0O4ymLfk7dh6vT6ey78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Cep6ZPGQEAAKMB&#10;AAAgAAAAZHJzL2NoYXJ0cy9fcmVscy9jaGFydDEueG1sLnJlbHOEkE9Lw0AQxe+C3yEseDSb5iBS&#10;mpRaK+bQKv1zC4TpZpKubnbCzmrTb+8eLLQgeBqG4f3emzeZDp2JvtGxJpuJUZyICK2iWts2E7vt&#10;y/2jiNiDrcGQxUyckMU0v72ZrNGADyI+6J6jQLGciYP3/VhKVgfsgGPq0YZLQ64DH1bXyh7UJ7Qo&#10;0yR5kO6SIfIrZlTUmXBFPRLR9tQH5//Z1DRa4TOprw6t/8NCksG3/QcqH6DgWvSZaLTBEFnOx+WO&#10;Qw/lmlhjvELDZOPt62y52KSj8kzlsljNZ3dpwtT4IzgsNwotOE1cvp+6DsN4qhQYvXfgsQJjjuhN&#10;KJCrX+UqHgwP5wRLqsNzi8Gjs2CEzCfyqtr8BwAA//8DAFBLAwQUAAYACAAAACEAx2LMaQwJAADg&#10;KgAAFQAAAGRycy9jaGFydHMvY2hhcnQxLnhtbOxa62/bOBL/fsD9Dz6h3w6JJb9t1FkkzqbobtoG&#10;dbsH3JcDLdGOLhSppag8+tffDB96xUzd3t4iV8QfEokcUuRwZn7z4Ouf7jPWu6WySAVfBtFxGPQo&#10;j0WS8t0y+Pzp4mgW9ApFeEKY4HQZPNAi+Onkr395HS/iayLVOicx7cEkvFjEy+BaqXzR7xfxNc1I&#10;cSxyyqFvK2RGFLzKXT+R5A4mz1h/EIaTvp4ksBOQ75ggIyl34+Uh48V2m8b0XMRlRrkyq5CUEQUc&#10;KK7TvAhOYHMJUTSah6PeLWHLIAz62MgI35kGyo/enJlGKUqe0GQlJAc2NuizeHHKFJUcploJruBr&#10;dp/ZQZzKiLwp86NYZDksbpOyVD3o5cICYe7VtYB99D7S38tU0mIZxNHIMQIeH7EiS2MpCrFVxzBj&#10;33DBnQZOO+3P+gN7HrDZaLQo1AOjZkNROMDd9qvv6iVcEMY2JL5B3jSIK9K6Hwd2mYGj9PHjg0oV&#10;o/rhHv/KNL4+eU0WG5E8XMmeFAoPoVfk8UUqC3VJCnVFJMhLFKD0qg/wZ8vE3TKgjMEZpoVpBy4I&#10;+SXo3UmSL4Pi95JIGvQIj6EZOKake1kpeI9wj2TBCrXGreuXHFvyK4n/Err9CKspvgDpKIT1bPSq&#10;Uv23XAYcVATVRaY3oCpcrPVT0LsBIYAhwGS9BU2+IQVlKapUCOdJFoVgaXKRMqZfUH/oiknDfXUf&#10;aRpWZu9EYtom4xCmM+stsw/brWkeuuY+TOlmgYPrfADFnffUQ063oL/L4O8ZP2LKTEdJp4MS0xEX&#10;nY64wA6Y2zBGP1pWaX5JYBbqDJwKP/q8NrOok9MsEzwtMxyp9CCghmdgdd8dPTwoLQmMPIhSwWfi&#10;hYBDhlezUauShf0eF8g7ww6OLKwaYGKmW+h2S2N1WeBkML0Zid9xokdKJT7hyzllVFHLaPuhnAl1&#10;KinBhTTWtCFyhXYQm+H5PLVHFguG240XO7APORg8s+qYlQWYBJqYzlsiH1aCiZbdgKVRYEi8SJP7&#10;1l6FTKid3i7KsOj2ZJ1mJRwpTXBjt3p7psux5ynpInEMpknLPvCqRWkYdyArYcEcdfHt9j3dgXzd&#10;Wtth1xoTzSTQjo90i9vbnlyd/Qut299enb2aLOBPNMP1604gWxGQXyTM1QpsrDK8iIaGdbnqAX+M&#10;9uCer6hMRWP/uf6ao0L9QapfCK9Z1CYZWJILuvGRDC3JOyJ9JCNLcpp7ScbVLA++WSaW5JfSu9xp&#10;RcJ8s8zcWsqdj2RuSdY095FEaJ+Qdx9i5aVx/H0vbr00jsHnNG7ToDJWx21etIjAoxUaAGFcAy+z&#10;x7LzM8rOz03ZAbJKdozrsRIJPXlDAaCJ5laj9VD5Co+n43ACNrf6jdq7QDk1IumYER7Pw2g4b/y0&#10;fBv93C98OGQwaIyYz31fccIIQ6LRtDlk7BvihDM8no0iBIrqN/QNccIaHk9m42FFDw8D3xAnvDAk&#10;ms+bQyLfECfM4fF4MgSYrH/ehTnhhiGjsPUV7/adsMPCpr6VVNIORPMWV+feeaP6wKej2axe/BNM&#10;ipw24PENR83j6wgJaEEt0ObFaYdWC1QYgxdd2NAmHWCzhg3bUsEGGH4CZrNmxrejBmJt0y8Bv2if&#10;X6I1By03QswTfsm3YPcL4AD+OZ1+ARw0wMZdsGbYqdgfDDiXCDiXfwLgjIezSdMwTGo97ezUIjTY&#10;LDCezSEdW1JjlOMNDvFa8hpiJsN5y655sc+JI8wLaNlcitfk1hAzDsGUN3++DdcQM5qMDkPYGmJG&#10;wzZeeFGphphRFE6bZt07pIYYMOktjnmZ3ECccTgDxGz8fPtvIM54MGkJiR+lmkc+bXkynTGHI05y&#10;uWEF6lxxLe4u6Y7y5FfaCdCg5zcCOaZGHgWpV0S9J1k7RMD2NZV728G/xzDl0Txn5WbD6Dr90pwK&#10;dlAtbUfyf6SJujYjB9HcxA8mmMxN69FgalrJ/Vsb9kUgJjNwrHQyI150OsATmmk001FfFQFiQF+9&#10;tCM/k0ST3xb42Y83ENy2WJzeF0utX+nj/EoUZbbrPFbn4r8R3RAKvQuPb972FRjvQfZlMBtPx0Ev&#10;xmyL5AnYpU5EWWG/YbyJPSealR1KnVczDsMT8Xu8wDSZ9X8eso2wkqZTMSbQrwleQlAboTiT+468&#10;hKDaa3hCzA8IQdfoEaz/BI/gEA/AhxkN8+8jaeC9j6SB7z4SJ1zgAvhIavz2ktR47SWp8dlLUuOx&#10;l6SBv36aOsLz03gZ/DU8BRObCeEQSqfLUB6NUatw7BlDrLGwxqLbEPPRjh5B6CHY2sJTUMRTnRLu&#10;YHE9URETGLFDh0TIFLwFXdQx68pS/o7cW8xuECY612tobKaS3F8JW8jZGJyEAPwiU706bbQMbDYJ&#10;EvqiBM/kMuU3NLElBASlfwv5KY1vIFV4YyZ3iASdKfd3KhgEXlW1Ak7v1SdhluGyuVVCFlPbCLvz&#10;8cCh7hbywADAWQ6LKfgO6htsB8WHGEodXwPjfWUGnSbCr+sovyozzA4rMxyK4ereFFia5Z4j56Lq&#10;mskzKftAoum7qj4/eLUH/H4sx2FxrFPvqco65oghowtFyOLUFja0k+18adtHrephNeafVFrRx7eW&#10;gWEbdgqSbdpQukFGoTKzYSCjBXXFApOKggyaeFcylV7eMtCthrKDna3MCkQoe+1Lvb6G2fiD7Ist&#10;Emlz8UamCRo8E1DZutaPoN/A5McbrKpuJozYV/A9gsyuziY+p7ovZje/p+77g1sAiQjhqfdmuz5U&#10;XZ5Xrfc5IzqysoJ44NuT4e8LdP5/X5T4r6Czdn01rO6HTt11RtUdpRYuN+YFIRNsc4V7e93LbxBG&#10;mKt1S0LnAzUq66fKpbVOdeMWxf/iZgdeIHnsVZobOC/e5L4a3XO5O3SwSoDAsUrIUPR+S4sPnNkE&#10;tI1Ek7TIz8ArvSlOrWcJGWEbT0G++RwcwgKvj0F02HEM3b0epxetqzGdROZmpz+H1c3mRa4fwX3r&#10;KpIJBp++I4eWpbo2d/B5xgsIdvHCJDsnivQk3ICCNPLbxGRfMAT4nOPFzPY5Ncdog6YvFeqLqSf/&#10;AQAA//8DAFBLAQItABQABgAIAAAAIQD1avy5IAEAAF4CAAATAAAAAAAAAAAAAAAAAAAAAABbQ29u&#10;dGVudF9UeXBlc10ueG1sUEsBAi0AFAAGAAgAAAAhADj9If/WAAAAlAEAAAsAAAAAAAAAAAAAAAAA&#10;UQEAAF9yZWxzLy5yZWxzUEsBAi0AFAAGAAgAAAAhAG+ThxvgAAAACQEAAA8AAAAAAAAAAAAAAAAA&#10;UAIAAGRycy9kb3ducmV2LnhtbFBLAQItABQABgAIAAAAIQCrjATCOgMAAIQHAAAOAAAAAAAAAAAA&#10;AAAAAF0DAABkcnMvZTJvRG9jLnhtbFBLAQItABQABgAIAAAAIQCrFs1GuQAAACIBAAAZAAAAAAAA&#10;AAAAAAAAAMMGAABkcnMvX3JlbHMvZTJvRG9jLnhtbC5yZWxzUEsBAi0AFAAGAAgAAAAhAJ6npk8Z&#10;AQAAowEAACAAAAAAAAAAAAAAAAAAswcAAGRycy9jaGFydHMvX3JlbHMvY2hhcnQxLnhtbC5yZWxz&#10;UEsBAi0AFAAGAAgAAAAhAMdizGkMCQAA4CoAABUAAAAAAAAAAAAAAAAACgkAAGRycy9jaGFydHMv&#10;Y2hhcnQxLnhtbFBLBQYAAAAABwAHAMsBAABJEgAAAAA=&#10;">
                <v:shape id="Chart 14" o:spid="_x0000_s1031" type="#_x0000_t75" style="position:absolute;left:3229;top:-3851;width:32299;height:2215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Q2R&#10;QMIAAADbAAAADwAAAGRycy9kb3ducmV2LnhtbERPTWsCMRC9F/ofwhS81WyLSFmNskhFEXuoLXgd&#10;N+Nm2c0k3URd/30jCN7m8T5nOu9tK87UhdqxgrdhBoK4dLrmSsHvz/L1A0SIyBpbx6TgSgHms+en&#10;KebaXfibzrtYiRTCIUcFJkafSxlKQxbD0HnixB1dZzEm2FVSd3hJ4baV71k2lhZrTg0GPS0Mlc3u&#10;ZBUcSuOLzV/l5NfSn66fzWo/2u6VGrz0xQREpD4+xHf3Wqf5I7j9kg6Qs38AAAD//wMAUEsBAi0A&#10;FAAGAAgAAAAhALaDOJL+AAAA4QEAABMAAAAAAAAAAAAAAAAAAAAAAFtDb250ZW50X1R5cGVzXS54&#10;bWxQSwECLQAUAAYACAAAACEAOP0h/9YAAACUAQAACwAAAAAAAAAAAAAAAAAvAQAAX3JlbHMvLnJl&#10;bHNQSwECLQAUAAYACAAAACEAMy8FnkEAAAA5AAAADgAAAAAAAAAAAAAAAAAuAgAAZHJzL2Uyb0Rv&#10;Yy54bWxQSwECLQAUAAYACAAAACEAuQ2RQMIAAADbAAAADwAAAAAAAAAAAAAAAACbAgAAZHJzL2Rv&#10;d25yZXYueG1sUEsFBgAAAAAEAAQA8wAAAIoDAAAAAA==&#10;">
                  <v:imagedata r:id="rId13" o:title=""/>
                  <o:lock v:ext="edit" aspectratio="f"/>
                </v:shape>
                <v:shape id="Text Box 15" o:spid="_x0000_s1032" type="#_x0000_t202" style="position:absolute;left:-160;top:19601;width:3981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14:paraId="3770217E" w14:textId="5728719F" w:rsidR="002832B4" w:rsidRPr="00896362" w:rsidRDefault="002832B4" w:rsidP="002832B4">
                        <w:pPr>
                          <w:pStyle w:val="Caption"/>
                          <w:rPr>
                            <w:b w:val="0"/>
                          </w:rPr>
                        </w:pPr>
                        <w:r w:rsidRPr="00896362">
                          <w:rPr>
                            <w:b w:val="0"/>
                          </w:rPr>
                          <w:t xml:space="preserve">Figure </w:t>
                        </w:r>
                        <w:r w:rsidR="00187BFE">
                          <w:rPr>
                            <w:b w:val="0"/>
                          </w:rPr>
                          <w:fldChar w:fldCharType="begin"/>
                        </w:r>
                        <w:r w:rsidR="00187BFE">
                          <w:rPr>
                            <w:b w:val="0"/>
                          </w:rPr>
                          <w:instrText xml:space="preserve"> STYLEREF 1 \s </w:instrText>
                        </w:r>
                        <w:r w:rsidR="00187BFE">
                          <w:rPr>
                            <w:b w:val="0"/>
                          </w:rPr>
                          <w:fldChar w:fldCharType="separate"/>
                        </w:r>
                        <w:r w:rsidR="00187BFE">
                          <w:rPr>
                            <w:b w:val="0"/>
                            <w:noProof/>
                          </w:rPr>
                          <w:t>5</w:t>
                        </w:r>
                        <w:r w:rsidR="00187BFE">
                          <w:rPr>
                            <w:b w:val="0"/>
                          </w:rPr>
                          <w:fldChar w:fldCharType="end"/>
                        </w:r>
                        <w:r w:rsidR="00187BFE">
                          <w:rPr>
                            <w:b w:val="0"/>
                          </w:rPr>
                          <w:noBreakHyphen/>
                        </w:r>
                        <w:r w:rsidR="00187BFE">
                          <w:rPr>
                            <w:b w:val="0"/>
                          </w:rPr>
                          <w:fldChar w:fldCharType="begin"/>
                        </w:r>
                        <w:r w:rsidR="00187BFE">
                          <w:rPr>
                            <w:b w:val="0"/>
                          </w:rPr>
                          <w:instrText xml:space="preserve"> SEQ Figure \* ARABIC \s 1 </w:instrText>
                        </w:r>
                        <w:r w:rsidR="00187BFE">
                          <w:rPr>
                            <w:b w:val="0"/>
                          </w:rPr>
                          <w:fldChar w:fldCharType="separate"/>
                        </w:r>
                        <w:r w:rsidR="00187BFE">
                          <w:rPr>
                            <w:b w:val="0"/>
                            <w:noProof/>
                          </w:rPr>
                          <w:t>2</w:t>
                        </w:r>
                        <w:r w:rsidR="00187BFE">
                          <w:rPr>
                            <w:b w:val="0"/>
                          </w:rPr>
                          <w:fldChar w:fldCharType="end"/>
                        </w:r>
                        <w:r w:rsidRPr="00896362">
                          <w:rPr>
                            <w:b w:val="0"/>
                          </w:rPr>
                          <w:t xml:space="preserve"> Water quality improvements for the Pymmes Brook catchment, showing a 28% reduction in ammonium once 16 wetlands are implemented. Dark blue bar shows before the scenario and light blue shows after the scenario, the green line indicates the threshold to achieve ‘good’ water body status as defined by the </w:t>
                        </w:r>
                        <w:r w:rsidR="00756B15">
                          <w:rPr>
                            <w:b w:val="0"/>
                          </w:rPr>
                          <w:t>W</w:t>
                        </w:r>
                        <w:r w:rsidR="00756B15" w:rsidRPr="00896362">
                          <w:rPr>
                            <w:b w:val="0"/>
                          </w:rPr>
                          <w:t xml:space="preserve">ater </w:t>
                        </w:r>
                        <w:r w:rsidR="00756B15">
                          <w:rPr>
                            <w:b w:val="0"/>
                          </w:rPr>
                          <w:t>F</w:t>
                        </w:r>
                        <w:r w:rsidR="00756B15" w:rsidRPr="00896362">
                          <w:rPr>
                            <w:b w:val="0"/>
                          </w:rPr>
                          <w:t xml:space="preserve">ramework </w:t>
                        </w:r>
                        <w:r w:rsidR="00756B15">
                          <w:rPr>
                            <w:b w:val="0"/>
                          </w:rPr>
                          <w:t>D</w:t>
                        </w:r>
                        <w:r w:rsidR="00756B15" w:rsidRPr="00896362">
                          <w:rPr>
                            <w:b w:val="0"/>
                          </w:rPr>
                          <w:t>irective</w:t>
                        </w:r>
                        <w:r w:rsidRPr="00896362">
                          <w:rPr>
                            <w:b w:val="0"/>
                          </w:rPr>
                          <w:t xml:space="preserve">. </w:t>
                        </w:r>
                      </w:p>
                    </w:txbxContent>
                  </v:textbox>
                </v:shape>
                <w10:wrap type="topAndBottom" anchorx="margin"/>
              </v:group>
            </w:pict>
          </mc:Fallback>
        </mc:AlternateContent>
      </w:r>
      <w:r>
        <w:rPr>
          <w:noProof/>
          <w:lang w:eastAsia="en-GB"/>
        </w:rPr>
        <mc:AlternateContent>
          <mc:Choice Requires="wpg">
            <w:drawing>
              <wp:anchor distT="0" distB="0" distL="114300" distR="114300" simplePos="0" relativeHeight="251660288" behindDoc="0" locked="0" layoutInCell="1" allowOverlap="1" wp14:anchorId="274CEC2A" wp14:editId="4D0CCB71">
                <wp:simplePos x="0" y="0"/>
                <wp:positionH relativeFrom="margin">
                  <wp:posOffset>285005</wp:posOffset>
                </wp:positionH>
                <wp:positionV relativeFrom="paragraph">
                  <wp:posOffset>4917130</wp:posOffset>
                </wp:positionV>
                <wp:extent cx="5020945" cy="3943350"/>
                <wp:effectExtent l="0" t="0" r="8255" b="0"/>
                <wp:wrapTopAndBottom/>
                <wp:docPr id="12" name="Group 12"/>
                <wp:cNvGraphicFramePr/>
                <a:graphic xmlns:a="http://schemas.openxmlformats.org/drawingml/2006/main">
                  <a:graphicData uri="http://schemas.microsoft.com/office/word/2010/wordprocessingGroup">
                    <wpg:wgp>
                      <wpg:cNvGrpSpPr/>
                      <wpg:grpSpPr>
                        <a:xfrm>
                          <a:off x="0" y="0"/>
                          <a:ext cx="5020945" cy="3943350"/>
                          <a:chOff x="-25811" y="-136359"/>
                          <a:chExt cx="3988211" cy="3621874"/>
                        </a:xfrm>
                      </wpg:grpSpPr>
                      <wpg:graphicFrame>
                        <wpg:cNvPr id="4" name="Chart 4"/>
                        <wpg:cNvFrPr/>
                        <wpg:xfrm>
                          <a:off x="-25811" y="-136359"/>
                          <a:ext cx="3962400" cy="2603500"/>
                        </wpg:xfrm>
                        <a:graphic>
                          <a:graphicData uri="http://schemas.openxmlformats.org/drawingml/2006/chart">
                            <c:chart xmlns:c="http://schemas.openxmlformats.org/drawingml/2006/chart" xmlns:r="http://schemas.openxmlformats.org/officeDocument/2006/relationships" r:id="rId14"/>
                          </a:graphicData>
                        </a:graphic>
                      </wpg:graphicFrame>
                      <wps:wsp>
                        <wps:cNvPr id="11" name="Text Box 11"/>
                        <wps:cNvSpPr txBox="1"/>
                        <wps:spPr>
                          <a:xfrm>
                            <a:off x="0" y="2660650"/>
                            <a:ext cx="3962400" cy="824865"/>
                          </a:xfrm>
                          <a:prstGeom prst="rect">
                            <a:avLst/>
                          </a:prstGeom>
                          <a:solidFill>
                            <a:prstClr val="white"/>
                          </a:solidFill>
                          <a:ln>
                            <a:noFill/>
                          </a:ln>
                          <a:effectLst/>
                        </wps:spPr>
                        <wps:txbx>
                          <w:txbxContent>
                            <w:p w14:paraId="17840B5A" w14:textId="7B58C53E" w:rsidR="002832B4" w:rsidRPr="00896362" w:rsidRDefault="002832B4" w:rsidP="002832B4">
                              <w:pPr>
                                <w:pStyle w:val="Caption"/>
                                <w:rPr>
                                  <w:b w:val="0"/>
                                  <w:noProof/>
                                </w:rPr>
                              </w:pPr>
                              <w:r w:rsidRPr="00896362">
                                <w:rPr>
                                  <w:b w:val="0"/>
                                </w:rPr>
                                <w:t xml:space="preserve">Figure </w:t>
                              </w:r>
                              <w:r w:rsidR="00187BFE">
                                <w:rPr>
                                  <w:b w:val="0"/>
                                </w:rPr>
                                <w:fldChar w:fldCharType="begin"/>
                              </w:r>
                              <w:r w:rsidR="00187BFE">
                                <w:rPr>
                                  <w:b w:val="0"/>
                                </w:rPr>
                                <w:instrText xml:space="preserve"> STYLEREF 1 \s </w:instrText>
                              </w:r>
                              <w:r w:rsidR="00187BFE">
                                <w:rPr>
                                  <w:b w:val="0"/>
                                </w:rPr>
                                <w:fldChar w:fldCharType="separate"/>
                              </w:r>
                              <w:r w:rsidR="00187BFE">
                                <w:rPr>
                                  <w:b w:val="0"/>
                                  <w:noProof/>
                                </w:rPr>
                                <w:t>5</w:t>
                              </w:r>
                              <w:r w:rsidR="00187BFE">
                                <w:rPr>
                                  <w:b w:val="0"/>
                                </w:rPr>
                                <w:fldChar w:fldCharType="end"/>
                              </w:r>
                              <w:r w:rsidR="00187BFE">
                                <w:rPr>
                                  <w:b w:val="0"/>
                                </w:rPr>
                                <w:noBreakHyphen/>
                              </w:r>
                              <w:r w:rsidR="00187BFE">
                                <w:rPr>
                                  <w:b w:val="0"/>
                                </w:rPr>
                                <w:fldChar w:fldCharType="begin"/>
                              </w:r>
                              <w:r w:rsidR="00187BFE">
                                <w:rPr>
                                  <w:b w:val="0"/>
                                </w:rPr>
                                <w:instrText xml:space="preserve"> SEQ Figure \* ARABIC \s 1 </w:instrText>
                              </w:r>
                              <w:r w:rsidR="00187BFE">
                                <w:rPr>
                                  <w:b w:val="0"/>
                                </w:rPr>
                                <w:fldChar w:fldCharType="separate"/>
                              </w:r>
                              <w:r w:rsidR="00187BFE">
                                <w:rPr>
                                  <w:b w:val="0"/>
                                  <w:noProof/>
                                </w:rPr>
                                <w:t>3</w:t>
                              </w:r>
                              <w:r w:rsidR="00187BFE">
                                <w:rPr>
                                  <w:b w:val="0"/>
                                </w:rPr>
                                <w:fldChar w:fldCharType="end"/>
                              </w:r>
                              <w:r w:rsidRPr="00896362">
                                <w:rPr>
                                  <w:b w:val="0"/>
                                </w:rPr>
                                <w:t xml:space="preserve"> Water quality improvements in the Ching Brook catchment showing a 56% reduction in ammonium once 9 wetlands are implemented. Dark blue area represents before the scenario, light blue are</w:t>
                              </w:r>
                              <w:r w:rsidR="00977F5C">
                                <w:rPr>
                                  <w:b w:val="0"/>
                                </w:rPr>
                                <w:t xml:space="preserve">a represents the scenario data, </w:t>
                              </w:r>
                              <w:r w:rsidR="00324B71" w:rsidRPr="00896362">
                                <w:rPr>
                                  <w:b w:val="0"/>
                                </w:rPr>
                                <w:t>and the</w:t>
                              </w:r>
                              <w:r w:rsidRPr="00896362">
                                <w:rPr>
                                  <w:b w:val="0"/>
                                </w:rPr>
                                <w:t xml:space="preserve"> green line represents the threshold to achieve ‘good’ water body status as defined by the </w:t>
                              </w:r>
                              <w:r w:rsidR="00756B15">
                                <w:rPr>
                                  <w:b w:val="0"/>
                                </w:rPr>
                                <w:t>W</w:t>
                              </w:r>
                              <w:r w:rsidRPr="00896362">
                                <w:rPr>
                                  <w:b w:val="0"/>
                                </w:rPr>
                                <w:t xml:space="preserve">ater </w:t>
                              </w:r>
                              <w:r w:rsidR="00756B15">
                                <w:rPr>
                                  <w:b w:val="0"/>
                                </w:rPr>
                                <w:t>F</w:t>
                              </w:r>
                              <w:r w:rsidRPr="00896362">
                                <w:rPr>
                                  <w:b w:val="0"/>
                                </w:rPr>
                                <w:t xml:space="preserve">ramework </w:t>
                              </w:r>
                              <w:r w:rsidR="00756B15">
                                <w:rPr>
                                  <w:b w:val="0"/>
                                </w:rPr>
                                <w:t>D</w:t>
                              </w:r>
                              <w:r w:rsidRPr="00896362">
                                <w:rPr>
                                  <w:b w:val="0"/>
                                </w:rPr>
                                <w:t xml:space="preserve">irective.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33" style="position:absolute;margin-left:22.45pt;margin-top:387.2pt;width:395.35pt;height:310.5pt;z-index:251660288;mso-position-horizontal-relative:margin;mso-width-relative:margin;mso-height-relative:margin" coordorigin="-258,-1363" coordsize="39882,36218"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fVgsmeMAAAALAQAADwAAAGRycy9k&#10;b3ducmV2LnhtbEyPy2rDMBBF94X+g5hCd43sWs7DtRxCaLsKgSaF0t3EmtgmlmQsxXb+vuqqXQ73&#10;cO+ZfD3plg3Uu8YaCfEsAkamtKoxlYTP49vTEpjzaBS21pCEGzlYF/d3OWbKjuaDhoOvWCgxLkMJ&#10;tfddxrkra9LoZrYjE7Kz7TX6cPYVVz2OoVy3/DmK5lxjY8JCjR1tayovh6uW8D7iuEni12F3OW9v&#10;38d0/7WLScrHh2nzAszT5P9g+NUP6lAEp5O9GuVYK0GIVSAlLBZCAAvAMknnwE6BTFapAF7k/P8P&#10;xQ8AAAD//wMAUEsDBBQABgAIAAAAIQA/ijihLAMAAH0HAAAOAAAAZHJzL2Uyb0RvYy54bWycVd9P&#10;2zAQfp+0/8HyO+RXm7URLerKipAQIMHEs+s4TaTE9my3Cfvrd3acMtqiMV7Ss30933ffd+eLy66p&#10;0Y4pXQk+w9F5iBHjVOQV38zwz6fV2QQjbQjPSS04m+EXpvHl/OuXi1ZmLBalqHOmEAThOmvlDJfG&#10;yCwINC1ZQ/S5kIzDYSFUQwws1SbIFWkhelMHcRimQStULpWgTGvYveoP8dzFLwpGzX1RaGZQPcOQ&#10;m3Ff5b5r+w3mFyTbKCLLivo0yCeyaEjF4dJ9qCtiCNqq6ihUU1EltCjMORVNIIqiosxhADRReIDm&#10;WomtdFg2WbuR+zJBaQ/q9Omw9G73oFCVA3cxRpw0wJG7FsEaitPKTQY+10o+ygflNzb9yuLtCtXY&#10;X0CCOlfWl31ZWWcQhc1xGIfT0RgjCmfJdJQkY194WgI79n9n8XgSRRiBw1mUpMl42jNDyx8+SDKd&#10;TGLr4oKkcTT5NrI+wZBDYFPdZ9YvHK0rBaj2SDza0QB2WRJlkAvlsa7UHugBuveyHIAm0zQehSAz&#10;m2OchoDTAXWpDbG82D4iln+rn9rsQSE0c5ZXCD3Sx0cj+QDQIAcCOxGgF++VoNuGcdN3o2I1MTAK&#10;dFlJjZHKrLLUTR55qjx42x6Oun0xPHtvCYORoF9Vr4+S+i/VP5ZEMtdM2ip6UD0oqlf9k2Xxu+gQ&#10;iMzp3LlZ1SPTwT50yLCvYfNd8cdpGqaDwE8qYxKPJun4jXhJJpU210w0yBpQM5hckCzJyO5Wm17n&#10;g4vd1qKu8lVV13ZhD5a1QjsCU64tK8N88DdeNbe+XNh/9QH7HebGpL+llTrr4VnLdOvODYdkgL4W&#10;+QtURIl+kmpJVxXcfku0eSAKRieoH54Dcw+fohbtDAtvYVQK9fvUvvUHbuEUoxZG8QzrX1uiGEb1&#10;DQfW7dweDDUY68Hg22YpADcQCdk4E/6gTD2YhRLNM7wSC3sLHBFO4a4ZNoO5NP2DAK8MZYuFc4Lp&#10;LIm55Y8SmilyTNgqP3XPREnPkQF278SgqyOqet++5outEUXleLR17asIHWAXoHFnuRn/d1ec7JLX&#10;V3P+Bw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lKLsCg4BAACYAQAAIAAAAGRycy9j&#10;aGFydHMvX3JlbHMvY2hhcnQxLnhtbC5yZWxzhJDBasMwDIbvg71DMOy4OMlhjBKnlKxjOTSDNr3l&#10;4jlK4s2xguVt6dvPsBVWGOwiJCR9v/Tn62Uy0Qc40mgFS+OERWAVdtoOgh2bx9t7FpGXtpMGLQh2&#10;AmLr4voq34ORPizRqGeKAsWSYKP384pzUiNMkmKcwYZOj26SPpRu4LNUb3IAniXJHXe/Gay4YEZV&#10;J5irupRFzWkOyv+zse+1ggdU7xNY/4cERwPPL6+gfIBKN4AXrNcGwsm8XLVHCj60eyQNcQ2G0MbN&#10;02a3PWRpe6ZSW9Xl5iZLCHv/KR20BwVWOo3UlmNw7TuGgZ+5OqRKGh0vhpaz7A678NF28eCsNIwX&#10;Ob/ws/gCAAD//wMAUEsDBBQABgAIAAAAIQBSKeIH2wgAAKUoAAAVAAAAZHJzL2NoYXJ0cy9jaGFy&#10;dDEueG1s7Frrb9s4Ev9+wP0POqHAfjgkluS3UWeROJuie2kb1O0ecN9oiXZ0oUQtRSV2//qb4UMP&#10;10yd3t4iVyQfHIkcksPhzG8e1Ouftxnz7qkoU57P/fA08D2axzxJ883c//zp6mTie6UkeUIYz+nc&#10;39HS//nsr395Hc/iWyLksiAx9WCSvJzFc/9WymLW65XxLc1IecoLmkPfmouMSHgVm14iyANMnrFe&#10;FASjnprENxOQ75ggI2lux4tjxvP1Oo3pJY+rjOZScyEoIxIkUN6mRemfweYSImk4DQbePWFzP/B7&#10;2MhIvtENND95c6EbBa/yhCYLLnIQY4s+i2fnTFKRw1QLnktYzewzO0pSGRF3VXES86wA5lYpS+VO&#10;sQsMwtyLWw778D7S36tU0HLux+HACgIevxJFlsaCl3wtT2HGnpaCPQ2cdtyb9CJzHrDZcDAr5Y5R&#10;vaEwiHC3vXpdxcIVYWxF4juUTYu4Jm36ceC+MHCUOn58kKlkVD1s8Vek8e3ZazJb8WR3IzzBJR6C&#10;VxbxVSpKeU1KeUME6Evoo/bKD/CzZvxh7lPG4AzTUreDFLj44nsPghRzv/y9IoL6HsljaAaJSWFf&#10;FhLeQ9wjmbFSLnHr6qXAluJG4L+Erj8CN+UXIB0EwM9KcZWq32ru52AiaC4ivQNTyflSPfneHSgB&#10;DAEhqy0o8hUpKUvRpAI4TzIrOUuTq5Qx9YL2QxdMaOnLbahoWJW944luGw0DmE7zW2Uf1mvd3LfN&#10;PZjSzgIHt7cAqnvuyV1B12C/c//vWX7CpJ6Okr0OSnRHXO51xCV2wNxaMOrRiErJS4Cw0GbgVPKT&#10;z0s9izw7zzKep1WGI6UaBNTwDKLu2aOHB6k0gZEdryQsE884HDK86o0akyzNejlH2Wlx5CjCugEm&#10;ZqqFrtc0ltclTgbT65G4jlU9Ukn+CV8uKaOSGkGbhQrG5bmgBBlp8bQiYoE4iM3wfJmaI4s5w+3G&#10;sw3gQwGAp7mOWVUCJNBEd94TsVtwxju4AaxREEg8S5NtZ69cJNRMb5jSIro/W6ZZBUdKE9zYvdqe&#10;7rLieUy7SBwDNCndB1l1KLXgjhQlMJyjLb5dv6cb0K97gx2G15goIYF1fKRr3N767KfFhYfw9tPf&#10;Xl28Gs3gJ5zgDlQ3EC4IaDCSFnIBKCu1NMK+Fl4hPZCQth/c9Q0VKW9JoFDrWSq0IKT6leSNkLok&#10;kSG5oisXSd+QvCPCRTIwJOeFk2RYz7JzzTIyJL9WTnbHNQlzzTKxvFQbF8nUkCxp4SIJEaFQdh9i&#10;6aSx8n3P7500VsCXNO7SoDnWx61flJLAo1EbcMPIQ15lh7TnF9SeX9raA4S19ujwY8ETevaGgpMm&#10;Sl6t1mM1LDgd9wfRtPU37O4DNVUrpRVHcDqJ+uArmr/INcRKB4b0J2MXldVAoBqOjuPFaiQMCUbg&#10;hJq/vmsVq6HB6Wg0HbQ2PFUGqiGmaz1WY2FINB01awSBU0hWg4PT4SQcH7WK1WgYApy1/5yrWA2H&#10;0wtG/TZjA9f2a42HMeFk3B4TOsc0Rz4ejIM2a1PnmNaZj/r99pi97YAlNCqtX6yFKNNAo9FeY995&#10;KGAH59k4D9NSOw+AfwLQ2TD5dN+BHrcdnSiN1/4emuvoRKkFNqOjeSQ6eYoHf3E7ygtaI39xOwjC&#10;OmgwUGyN7A93O9fodq7/BLfTD51I3aBOfxCGRyGVlUdw2o8m0/YQ5yqN1+mHk+OwzSokrBI6gbbx&#10;M9G0y72TlcbPROOun3F61sbPROMuyjq9WeNnovFo0gZm55DGz/TD0XEyavmZfr/jmQPnZsLWiXcj&#10;i0fGtI58MO1sZ883He9nkusVK9HOylv+cE03NE/+QfeSM+j5jUB9qVVDQeoFke9J1k0PsH1JxcF2&#10;iOwxRflqnotqtWJ0mX5pTwU7qFnbkOKfaSJv9cgonOrMQSeShW49ica6lWzfmpQvHPRBGYfR5GBH&#10;FIwGyoepjK/O/jCZr1+6WZ8uoImnJX2qitLx26bFeOfDedTylQocvpFB6X3ZWNWG9284FBeaKABR&#10;FMMKR2DeDRJY7kHxJZoMx0Pfi7HYIvIE0oa9hLJ2+lr2OvUcKWnuUaqymo4UHknf4xlWyUzgs8tW&#10;3CibqsToPL8heDyHWCKYL/8EMB91RXwoZ3CSNHbsJGmg2knSQLOTpAFmJ0kDxE6SBnidJA3QOkka&#10;YHWStIDUTdMAp5vGKeBvASMYSsa5hRpV80Dj0apZA9IzxkptJ9ouTYbw1Y7i2XeAZAcYIZ0/V3U9&#10;50RlTGDEBj0LFynAvqrMa76yNH9HtgZ8W4SJKthpGlNuItsbbqrxKw13kD9dZdJr8v65b8oBUJXl&#10;FbiY6zS/o4mpAyO0/JuLT2l8B9WeOz25xRXoTHN3p4RB4B5rDnK6lZ+4ZsOW5OqqGtYnETynw8hi&#10;5xqKeQCjWQHMlPkGitRsAxXkGOrV34LUQ7Xi0BaFVZJWZ2MT2/x4NnYsEsutrpK3a/YnthCgCt/P&#10;pHYPIe93le5/8JI9BHB4p4I3HHtFe9APXZvXRwxFObhJKs9NdVpFSzYoMn3UmB6W1P9FhVF9fOsA&#10;DFuxc9Bs3YbarUrm0Ao6WlJb79X3HFAA4e8qJtPrewa21TJ2wNkaVsDHH8SXhr8WbPxB+GIq/Qou&#10;3og0QcDTkbG5nPgR7BuE/PUG66sTHQweurU7Gerq53MCAEyTXxDgaZd22aYHZfPndWH3nD36E+4g&#10;8arzxXX+P992/1eusyk0KLd62HWqrgsqHyg17nKlX0wwXPu9g+HlE5QRcL5z1a0KOxiMM/VUh7Qm&#10;qG5dhf8vrucPm4b+jOIlmnzOH4AcbRKgcFq1VM0evrL4LS0/5MxUEk0mmqRlcQFR6V15biJLKO2Z&#10;fAoKh5cQEJb4DRBkh3uBof04w9pF5/uGvXLUaqOWw3So/TXOjxC+7RsSBNqQDD7+oZOuvpkY9ujz&#10;jGeQ7OJXb+ySSOIJ+IwFioFvE119wRTgc4Ff13XPqT1GlR3Vl2Hq68Kz/wAAAP//AwBQSwECLQAU&#10;AAYACAAAACEA9Wr8uSABAABeAgAAEwAAAAAAAAAAAAAAAAAAAAAAW0NvbnRlbnRfVHlwZXNdLnht&#10;bFBLAQItABQABgAIAAAAIQA4/SH/1gAAAJQBAAALAAAAAAAAAAAAAAAAAFEBAABfcmVscy8ucmVs&#10;c1BLAQItABQABgAIAAAAIQB9WCyZ4wAAAAsBAAAPAAAAAAAAAAAAAAAAAFACAABkcnMvZG93bnJl&#10;di54bWxQSwECLQAUAAYACAAAACEAP4o4oSwDAAB9BwAADgAAAAAAAAAAAAAAAABgAwAAZHJzL2Uy&#10;b0RvYy54bWxQSwECLQAUAAYACAAAACEAqxbNRrkAAAAiAQAAGQAAAAAAAAAAAAAAAAC4BgAAZHJz&#10;L19yZWxzL2Uyb0RvYy54bWwucmVsc1BLAQItABQABgAIAAAAIQCUouwKDgEAAJgBAAAgAAAAAAAA&#10;AAAAAAAAAKgHAABkcnMvY2hhcnRzL19yZWxzL2NoYXJ0MS54bWwucmVsc1BLAQItABQABgAIAAAA&#10;IQBSKeIH2wgAAKUoAAAVAAAAAAAAAAAAAAAAAPQIAABkcnMvY2hhcnRzL2NoYXJ0MS54bWxQSwUG&#10;AAAAAAcABwDLAQAAAhIAAAAA&#10;">
                <v:shape id="Chart 4" o:spid="_x0000_s1034" type="#_x0000_t75" style="position:absolute;left:-306;top:-1419;width:39705;height:261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El/r&#10;YMQAAADaAAAADwAAAGRycy9kb3ducmV2LnhtbESPQWvCQBSE7wX/w/KE3urGpg0SXUWKltIexKj3&#10;Z/aZRLNvw+5W03/fLRQ8DjPzDTNb9KYVV3K+saxgPEpAEJdWN1wp2O/WTxMQPiBrbC2Tgh/ysJgP&#10;HmaYa3vjLV2LUIkIYZ+jgjqELpfSlzUZ9CPbEUfvZJ3BEKWrpHZ4i3DTyuckyaTBhuNCjR291VRe&#10;im+jIDu+n48Xk60OX1W6L1z6mn5uOqUeh/1yCiJQH+7h//aHVvACf1fiDZDzXwAAAP//AwBQSwEC&#10;LQAUAAYACAAAACEAtoM4kv4AAADhAQAAEwAAAAAAAAAAAAAAAAAAAAAAW0NvbnRlbnRfVHlwZXNd&#10;LnhtbFBLAQItABQABgAIAAAAIQA4/SH/1gAAAJQBAAALAAAAAAAAAAAAAAAAAC8BAABfcmVscy8u&#10;cmVsc1BLAQItABQABgAIAAAAIQAzLwWeQQAAADkAAAAOAAAAAAAAAAAAAAAAAC4CAABkcnMvZTJv&#10;RG9jLnhtbFBLAQItABQABgAIAAAAIQASX+tgxAAAANoAAAAPAAAAAAAAAAAAAAAAAJsCAABkcnMv&#10;ZG93bnJldi54bWxQSwUGAAAAAAQABADzAAAAjAMAAAAA&#10;">
                  <v:imagedata r:id="rId15" o:title=""/>
                  <o:lock v:ext="edit" aspectratio="f"/>
                </v:shape>
                <v:shape id="Text Box 11" o:spid="_x0000_s1035" type="#_x0000_t202" style="position:absolute;top:26606;width:39624;height:8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14:paraId="17840B5A" w14:textId="7B58C53E" w:rsidR="002832B4" w:rsidRPr="00896362" w:rsidRDefault="002832B4" w:rsidP="002832B4">
                        <w:pPr>
                          <w:pStyle w:val="Caption"/>
                          <w:rPr>
                            <w:b w:val="0"/>
                            <w:noProof/>
                          </w:rPr>
                        </w:pPr>
                        <w:r w:rsidRPr="00896362">
                          <w:rPr>
                            <w:b w:val="0"/>
                          </w:rPr>
                          <w:t xml:space="preserve">Figure </w:t>
                        </w:r>
                        <w:r w:rsidR="00187BFE">
                          <w:rPr>
                            <w:b w:val="0"/>
                          </w:rPr>
                          <w:fldChar w:fldCharType="begin"/>
                        </w:r>
                        <w:r w:rsidR="00187BFE">
                          <w:rPr>
                            <w:b w:val="0"/>
                          </w:rPr>
                          <w:instrText xml:space="preserve"> STYLEREF 1 \s </w:instrText>
                        </w:r>
                        <w:r w:rsidR="00187BFE">
                          <w:rPr>
                            <w:b w:val="0"/>
                          </w:rPr>
                          <w:fldChar w:fldCharType="separate"/>
                        </w:r>
                        <w:r w:rsidR="00187BFE">
                          <w:rPr>
                            <w:b w:val="0"/>
                            <w:noProof/>
                          </w:rPr>
                          <w:t>5</w:t>
                        </w:r>
                        <w:r w:rsidR="00187BFE">
                          <w:rPr>
                            <w:b w:val="0"/>
                          </w:rPr>
                          <w:fldChar w:fldCharType="end"/>
                        </w:r>
                        <w:r w:rsidR="00187BFE">
                          <w:rPr>
                            <w:b w:val="0"/>
                          </w:rPr>
                          <w:noBreakHyphen/>
                        </w:r>
                        <w:r w:rsidR="00187BFE">
                          <w:rPr>
                            <w:b w:val="0"/>
                          </w:rPr>
                          <w:fldChar w:fldCharType="begin"/>
                        </w:r>
                        <w:r w:rsidR="00187BFE">
                          <w:rPr>
                            <w:b w:val="0"/>
                          </w:rPr>
                          <w:instrText xml:space="preserve"> SEQ Figure \* ARABIC \s 1 </w:instrText>
                        </w:r>
                        <w:r w:rsidR="00187BFE">
                          <w:rPr>
                            <w:b w:val="0"/>
                          </w:rPr>
                          <w:fldChar w:fldCharType="separate"/>
                        </w:r>
                        <w:r w:rsidR="00187BFE">
                          <w:rPr>
                            <w:b w:val="0"/>
                            <w:noProof/>
                          </w:rPr>
                          <w:t>3</w:t>
                        </w:r>
                        <w:r w:rsidR="00187BFE">
                          <w:rPr>
                            <w:b w:val="0"/>
                          </w:rPr>
                          <w:fldChar w:fldCharType="end"/>
                        </w:r>
                        <w:r w:rsidRPr="00896362">
                          <w:rPr>
                            <w:b w:val="0"/>
                          </w:rPr>
                          <w:t xml:space="preserve"> Water quality improvements in the Ching Brook catchment showing a 56% reduction in ammonium once 9 wetlands are implemented. Dark blue area represents before the scenario, light blue are</w:t>
                        </w:r>
                        <w:r w:rsidR="00977F5C">
                          <w:rPr>
                            <w:b w:val="0"/>
                          </w:rPr>
                          <w:t xml:space="preserve">a represents the scenario data, </w:t>
                        </w:r>
                        <w:r w:rsidR="00324B71" w:rsidRPr="00896362">
                          <w:rPr>
                            <w:b w:val="0"/>
                          </w:rPr>
                          <w:t>and the</w:t>
                        </w:r>
                        <w:r w:rsidRPr="00896362">
                          <w:rPr>
                            <w:b w:val="0"/>
                          </w:rPr>
                          <w:t xml:space="preserve"> green line represents the threshold to achieve ‘good’ water body status as defined by the </w:t>
                        </w:r>
                        <w:r w:rsidR="00756B15">
                          <w:rPr>
                            <w:b w:val="0"/>
                          </w:rPr>
                          <w:t>W</w:t>
                        </w:r>
                        <w:r w:rsidRPr="00896362">
                          <w:rPr>
                            <w:b w:val="0"/>
                          </w:rPr>
                          <w:t xml:space="preserve">ater </w:t>
                        </w:r>
                        <w:r w:rsidR="00756B15">
                          <w:rPr>
                            <w:b w:val="0"/>
                          </w:rPr>
                          <w:t>F</w:t>
                        </w:r>
                        <w:r w:rsidRPr="00896362">
                          <w:rPr>
                            <w:b w:val="0"/>
                          </w:rPr>
                          <w:t xml:space="preserve">ramework </w:t>
                        </w:r>
                        <w:r w:rsidR="00756B15">
                          <w:rPr>
                            <w:b w:val="0"/>
                          </w:rPr>
                          <w:t>D</w:t>
                        </w:r>
                        <w:r w:rsidRPr="00896362">
                          <w:rPr>
                            <w:b w:val="0"/>
                          </w:rPr>
                          <w:t xml:space="preserve">irective. </w:t>
                        </w:r>
                      </w:p>
                    </w:txbxContent>
                  </v:textbox>
                </v:shape>
                <w10:wrap type="topAndBottom" anchorx="margin"/>
              </v:group>
            </w:pict>
          </mc:Fallback>
        </mc:AlternateContent>
      </w:r>
      <w:r w:rsidR="00DC777F">
        <w:br w:type="page"/>
      </w:r>
    </w:p>
    <w:p w14:paraId="623BF61E" w14:textId="77777777" w:rsidR="00441B32" w:rsidRDefault="00441B32" w:rsidP="00977F5C">
      <w:pPr>
        <w:pStyle w:val="Heading1"/>
        <w:numPr>
          <w:ilvl w:val="0"/>
          <w:numId w:val="1"/>
        </w:numPr>
        <w:spacing w:line="276" w:lineRule="auto"/>
        <w:rPr>
          <w:color w:val="auto"/>
        </w:rPr>
      </w:pPr>
      <w:bookmarkStart w:id="7" w:name="_Toc517707824"/>
      <w:r w:rsidRPr="00441B32">
        <w:rPr>
          <w:color w:val="auto"/>
        </w:rPr>
        <w:lastRenderedPageBreak/>
        <w:t>Conclusions</w:t>
      </w:r>
      <w:bookmarkEnd w:id="7"/>
      <w:r w:rsidRPr="00441B32">
        <w:rPr>
          <w:color w:val="auto"/>
        </w:rPr>
        <w:t xml:space="preserve"> </w:t>
      </w:r>
    </w:p>
    <w:p w14:paraId="315DC619" w14:textId="77777777" w:rsidR="00441B32" w:rsidRDefault="00441B32" w:rsidP="00977F5C">
      <w:pPr>
        <w:spacing w:line="276" w:lineRule="auto"/>
      </w:pPr>
    </w:p>
    <w:p w14:paraId="758587D1" w14:textId="75D4FFF8" w:rsidR="001D6BB4" w:rsidRDefault="005D49C4" w:rsidP="00977F5C">
      <w:pPr>
        <w:spacing w:line="276" w:lineRule="auto"/>
        <w:rPr>
          <w:rFonts w:ascii="Cambria" w:hAnsi="Cambria"/>
        </w:rPr>
      </w:pPr>
      <w:r>
        <w:rPr>
          <w:rFonts w:ascii="Cambria" w:hAnsi="Cambria"/>
        </w:rPr>
        <w:t xml:space="preserve">The results demonstrate </w:t>
      </w:r>
      <w:r w:rsidR="00F17E0E">
        <w:rPr>
          <w:rFonts w:ascii="Cambria" w:hAnsi="Cambria"/>
        </w:rPr>
        <w:t xml:space="preserve">how appropriately sited </w:t>
      </w:r>
      <w:r>
        <w:rPr>
          <w:rFonts w:ascii="Cambria" w:hAnsi="Cambria"/>
        </w:rPr>
        <w:t xml:space="preserve">constructed wetlands on a catchment scale can achieve water body status change for rivers </w:t>
      </w:r>
      <w:r w:rsidR="00E6622D">
        <w:rPr>
          <w:rFonts w:ascii="Cambria" w:hAnsi="Cambria"/>
        </w:rPr>
        <w:t xml:space="preserve">Constructed wetlands have the ability to deliver ‘Good’ waterbody status to the Pymmes and Ching Brooks and </w:t>
      </w:r>
      <w:r w:rsidR="00F17E0E">
        <w:rPr>
          <w:rFonts w:ascii="Cambria" w:hAnsi="Cambria"/>
        </w:rPr>
        <w:t xml:space="preserve">have </w:t>
      </w:r>
      <w:r w:rsidR="00E6622D">
        <w:rPr>
          <w:rFonts w:ascii="Cambria" w:hAnsi="Cambria"/>
        </w:rPr>
        <w:t xml:space="preserve">the ability to improve water quality on the Salmons Brook. Additionally, constructed wetlands can improve water quality at a </w:t>
      </w:r>
      <w:r w:rsidR="00714DB3">
        <w:rPr>
          <w:rFonts w:ascii="Cambria" w:hAnsi="Cambria"/>
        </w:rPr>
        <w:t xml:space="preserve">larger, </w:t>
      </w:r>
      <w:r w:rsidR="00E6622D">
        <w:rPr>
          <w:rFonts w:ascii="Cambria" w:hAnsi="Cambria"/>
        </w:rPr>
        <w:t>catchment scale, thus help</w:t>
      </w:r>
      <w:r w:rsidR="00F17E0E">
        <w:rPr>
          <w:rFonts w:ascii="Cambria" w:hAnsi="Cambria"/>
        </w:rPr>
        <w:t>ing</w:t>
      </w:r>
      <w:r w:rsidR="00E6622D">
        <w:rPr>
          <w:rFonts w:ascii="Cambria" w:hAnsi="Cambria"/>
        </w:rPr>
        <w:t xml:space="preserve"> to implement WFD targets whilst improving the environment. Constructed wetlands have the potential to provide multiple benefits including </w:t>
      </w:r>
      <w:r w:rsidR="00F17E0E">
        <w:rPr>
          <w:rFonts w:ascii="Cambria" w:hAnsi="Cambria"/>
        </w:rPr>
        <w:t>reducing</w:t>
      </w:r>
      <w:r w:rsidR="00E6622D">
        <w:rPr>
          <w:rFonts w:ascii="Cambria" w:hAnsi="Cambria"/>
        </w:rPr>
        <w:t xml:space="preserve"> of flood risk, </w:t>
      </w:r>
      <w:r w:rsidR="00F17E0E">
        <w:rPr>
          <w:rFonts w:ascii="Cambria" w:hAnsi="Cambria"/>
        </w:rPr>
        <w:t>creating</w:t>
      </w:r>
      <w:r w:rsidR="00E6622D">
        <w:rPr>
          <w:rFonts w:ascii="Cambria" w:hAnsi="Cambria"/>
        </w:rPr>
        <w:t xml:space="preserve"> of social amenities, </w:t>
      </w:r>
      <w:r w:rsidR="00F17E0E">
        <w:rPr>
          <w:rFonts w:ascii="Cambria" w:hAnsi="Cambria"/>
        </w:rPr>
        <w:t>increasing</w:t>
      </w:r>
      <w:r w:rsidR="00E6622D">
        <w:rPr>
          <w:rFonts w:ascii="Cambria" w:hAnsi="Cambria"/>
        </w:rPr>
        <w:t xml:space="preserve"> property prices, however these benefits have not been quantified. </w:t>
      </w:r>
    </w:p>
    <w:p w14:paraId="1EB85BDB" w14:textId="758D0510" w:rsidR="00E6622D" w:rsidRDefault="00E6622D" w:rsidP="00977F5C">
      <w:pPr>
        <w:spacing w:line="276" w:lineRule="auto"/>
        <w:rPr>
          <w:rFonts w:ascii="Cambria" w:hAnsi="Cambria"/>
        </w:rPr>
      </w:pPr>
      <w:r>
        <w:rPr>
          <w:rFonts w:ascii="Cambria" w:hAnsi="Cambria"/>
        </w:rPr>
        <w:t>The community modelling process has significant potential to enable communities and authorities to understand complex environmental issues</w:t>
      </w:r>
      <w:r w:rsidR="00F17E0E">
        <w:rPr>
          <w:rFonts w:ascii="Cambria" w:hAnsi="Cambria"/>
        </w:rPr>
        <w:t>,</w:t>
      </w:r>
      <w:r>
        <w:rPr>
          <w:rFonts w:ascii="Cambria" w:hAnsi="Cambria"/>
        </w:rPr>
        <w:t xml:space="preserve"> and test collaborative evidence</w:t>
      </w:r>
      <w:r w:rsidR="00F17E0E">
        <w:rPr>
          <w:rFonts w:ascii="Cambria" w:hAnsi="Cambria"/>
        </w:rPr>
        <w:t>-</w:t>
      </w:r>
      <w:r>
        <w:rPr>
          <w:rFonts w:ascii="Cambria" w:hAnsi="Cambria"/>
        </w:rPr>
        <w:t>b</w:t>
      </w:r>
      <w:r w:rsidR="001D6BB4">
        <w:rPr>
          <w:rFonts w:ascii="Cambria" w:hAnsi="Cambria"/>
        </w:rPr>
        <w:t>ased solutions which can highlight st</w:t>
      </w:r>
      <w:r w:rsidR="005D49C4">
        <w:rPr>
          <w:rFonts w:ascii="Cambria" w:hAnsi="Cambria"/>
        </w:rPr>
        <w:t xml:space="preserve">rategic areas </w:t>
      </w:r>
      <w:r w:rsidR="001D6BB4">
        <w:rPr>
          <w:rFonts w:ascii="Cambria" w:hAnsi="Cambria"/>
        </w:rPr>
        <w:t>in a catchment.</w:t>
      </w:r>
      <w:r w:rsidR="005D49C4">
        <w:rPr>
          <w:rFonts w:ascii="Cambria" w:hAnsi="Cambria"/>
        </w:rPr>
        <w:t xml:space="preserve"> </w:t>
      </w:r>
      <w:r w:rsidR="003514F2">
        <w:rPr>
          <w:rFonts w:ascii="Cambria" w:hAnsi="Cambria"/>
        </w:rPr>
        <w:t>The success of th</w:t>
      </w:r>
      <w:r w:rsidR="00F17E0E">
        <w:rPr>
          <w:rFonts w:ascii="Cambria" w:hAnsi="Cambria"/>
        </w:rPr>
        <w:t xml:space="preserve">is water quality community modelling </w:t>
      </w:r>
      <w:r w:rsidR="003514F2">
        <w:rPr>
          <w:rFonts w:ascii="Cambria" w:hAnsi="Cambria"/>
        </w:rPr>
        <w:t xml:space="preserve">project has led to funding being awarded to conceptualise constructed wetlands in the Ching Brook, </w:t>
      </w:r>
      <w:r w:rsidR="00F17E0E">
        <w:rPr>
          <w:rFonts w:ascii="Cambria" w:hAnsi="Cambria"/>
        </w:rPr>
        <w:t xml:space="preserve">building on </w:t>
      </w:r>
      <w:r w:rsidR="003514F2">
        <w:rPr>
          <w:rFonts w:ascii="Cambria" w:hAnsi="Cambria"/>
        </w:rPr>
        <w:t xml:space="preserve">the evidence of water quality improvements </w:t>
      </w:r>
      <w:r w:rsidR="00F17E0E">
        <w:rPr>
          <w:rFonts w:ascii="Cambria" w:hAnsi="Cambria"/>
        </w:rPr>
        <w:t xml:space="preserve">in order </w:t>
      </w:r>
      <w:r w:rsidR="003514F2">
        <w:rPr>
          <w:rFonts w:ascii="Cambria" w:hAnsi="Cambria"/>
        </w:rPr>
        <w:t xml:space="preserve">to prioritise wetland implementation in the catchment. </w:t>
      </w:r>
    </w:p>
    <w:p w14:paraId="21A8AF03" w14:textId="3F565E92" w:rsidR="003514F2" w:rsidRDefault="00AA445B" w:rsidP="00977F5C">
      <w:pPr>
        <w:spacing w:line="276" w:lineRule="auto"/>
        <w:rPr>
          <w:rFonts w:ascii="Cambria" w:hAnsi="Cambria"/>
        </w:rPr>
      </w:pPr>
      <w:r>
        <w:rPr>
          <w:rFonts w:ascii="Cambria" w:hAnsi="Cambria"/>
        </w:rPr>
        <w:t xml:space="preserve">The potential benefits </w:t>
      </w:r>
      <w:r w:rsidR="008849D7">
        <w:rPr>
          <w:rFonts w:ascii="Cambria" w:hAnsi="Cambria"/>
        </w:rPr>
        <w:t xml:space="preserve">of constructed wetlands on water quality, </w:t>
      </w:r>
      <w:r w:rsidR="00F17E0E">
        <w:rPr>
          <w:rFonts w:ascii="Cambria" w:hAnsi="Cambria"/>
        </w:rPr>
        <w:t xml:space="preserve">identified </w:t>
      </w:r>
      <w:r>
        <w:rPr>
          <w:rFonts w:ascii="Cambria" w:hAnsi="Cambria"/>
        </w:rPr>
        <w:t xml:space="preserve">by the community modelling water quality project </w:t>
      </w:r>
      <w:r w:rsidR="008849D7">
        <w:rPr>
          <w:rFonts w:ascii="Cambria" w:hAnsi="Cambria"/>
        </w:rPr>
        <w:t>has led to an</w:t>
      </w:r>
      <w:r>
        <w:rPr>
          <w:rFonts w:ascii="Cambria" w:hAnsi="Cambria"/>
        </w:rPr>
        <w:t xml:space="preserve"> opportunity to investigate the</w:t>
      </w:r>
      <w:r w:rsidR="008849D7">
        <w:rPr>
          <w:rFonts w:ascii="Cambria" w:hAnsi="Cambria"/>
        </w:rPr>
        <w:t>ir</w:t>
      </w:r>
      <w:r>
        <w:rPr>
          <w:rFonts w:ascii="Cambria" w:hAnsi="Cambria"/>
        </w:rPr>
        <w:t xml:space="preserve"> potential benefits </w:t>
      </w:r>
      <w:r w:rsidR="008849D7">
        <w:rPr>
          <w:rFonts w:ascii="Cambria" w:hAnsi="Cambria"/>
        </w:rPr>
        <w:t>on reducing</w:t>
      </w:r>
      <w:r>
        <w:rPr>
          <w:rFonts w:ascii="Cambria" w:hAnsi="Cambria"/>
        </w:rPr>
        <w:t xml:space="preserve"> flood risk </w:t>
      </w:r>
      <w:r w:rsidR="008849D7">
        <w:rPr>
          <w:rFonts w:ascii="Cambria" w:hAnsi="Cambria"/>
        </w:rPr>
        <w:t>in those same</w:t>
      </w:r>
      <w:r>
        <w:rPr>
          <w:rFonts w:ascii="Cambria" w:hAnsi="Cambria"/>
        </w:rPr>
        <w:t xml:space="preserve"> three catchments. </w:t>
      </w:r>
    </w:p>
    <w:p w14:paraId="5F4EC062" w14:textId="77777777" w:rsidR="00441B32" w:rsidRDefault="00441B32" w:rsidP="00977F5C">
      <w:pPr>
        <w:spacing w:line="276" w:lineRule="auto"/>
      </w:pPr>
    </w:p>
    <w:p w14:paraId="6B375594" w14:textId="77777777" w:rsidR="00441B32" w:rsidRDefault="00441B32" w:rsidP="00441B32">
      <w:r>
        <w:br w:type="page"/>
      </w:r>
    </w:p>
    <w:p w14:paraId="44DAF0C6" w14:textId="77777777" w:rsidR="00F27DDA" w:rsidRDefault="00441B32" w:rsidP="002C04D8">
      <w:pPr>
        <w:pStyle w:val="Heading1"/>
        <w:numPr>
          <w:ilvl w:val="0"/>
          <w:numId w:val="1"/>
        </w:numPr>
        <w:rPr>
          <w:color w:val="auto"/>
        </w:rPr>
      </w:pPr>
      <w:bookmarkStart w:id="8" w:name="_Toc517707825"/>
      <w:r w:rsidRPr="00441B32">
        <w:rPr>
          <w:color w:val="auto"/>
        </w:rPr>
        <w:lastRenderedPageBreak/>
        <w:t>References</w:t>
      </w:r>
      <w:bookmarkEnd w:id="8"/>
    </w:p>
    <w:p w14:paraId="1E53A5E3" w14:textId="77777777" w:rsidR="00441B32" w:rsidRDefault="00441B32" w:rsidP="00F27DDA">
      <w:pPr>
        <w:rPr>
          <w:rFonts w:ascii="Cambria" w:hAnsi="Cambria"/>
        </w:rPr>
      </w:pPr>
    </w:p>
    <w:p w14:paraId="0A0FB3A9" w14:textId="77777777" w:rsidR="00B35AAF" w:rsidRDefault="00B35AAF" w:rsidP="006C1E72">
      <w:pPr>
        <w:widowControl w:val="0"/>
        <w:autoSpaceDE w:val="0"/>
        <w:autoSpaceDN w:val="0"/>
        <w:adjustRightInd w:val="0"/>
        <w:spacing w:after="120" w:line="240" w:lineRule="auto"/>
        <w:ind w:left="480" w:hanging="480"/>
        <w:rPr>
          <w:rFonts w:ascii="Cambria" w:hAnsi="Cambria" w:cs="Arial"/>
        </w:rPr>
      </w:pPr>
      <w:r w:rsidRPr="00B35AAF">
        <w:rPr>
          <w:rFonts w:ascii="Cambria" w:hAnsi="Cambria"/>
        </w:rPr>
        <w:fldChar w:fldCharType="begin" w:fldLock="1"/>
      </w:r>
      <w:r w:rsidRPr="00B35AAF">
        <w:rPr>
          <w:rFonts w:ascii="Cambria" w:hAnsi="Cambria"/>
        </w:rPr>
        <w:instrText xml:space="preserve">ADDIN Mendeley Bibliography CSL_BIBLIOGRAPHY </w:instrText>
      </w:r>
      <w:r w:rsidRPr="00B35AAF">
        <w:rPr>
          <w:rFonts w:ascii="Cambria" w:hAnsi="Cambria"/>
        </w:rPr>
        <w:fldChar w:fldCharType="separate"/>
      </w:r>
      <w:r w:rsidRPr="00B35AAF">
        <w:rPr>
          <w:rFonts w:ascii="Cambria" w:hAnsi="Cambria" w:cs="Arial"/>
        </w:rPr>
        <w:t xml:space="preserve">Bussi, G., Dadson, S.J., Whitehead, P.G., Prudhomme, C., 2016a. </w:t>
      </w:r>
      <w:r w:rsidR="006C1E72">
        <w:rPr>
          <w:rFonts w:ascii="Cambria" w:hAnsi="Cambria" w:cs="Arial"/>
        </w:rPr>
        <w:t xml:space="preserve">Modelling the future impacts of </w:t>
      </w:r>
      <w:r w:rsidRPr="00B35AAF">
        <w:rPr>
          <w:rFonts w:ascii="Cambria" w:hAnsi="Cambria" w:cs="Arial"/>
        </w:rPr>
        <w:t>climate and land-use change on suspended sediment transport in the River Thames (UK)</w:t>
      </w:r>
      <w:r w:rsidRPr="00CF3752">
        <w:rPr>
          <w:rFonts w:ascii="Cambria" w:hAnsi="Cambria" w:cs="Arial"/>
          <w:i/>
        </w:rPr>
        <w:t>. J. Hydrol</w:t>
      </w:r>
      <w:r w:rsidRPr="00B35AAF">
        <w:rPr>
          <w:rFonts w:ascii="Cambria" w:hAnsi="Cambria" w:cs="Arial"/>
        </w:rPr>
        <w:t>. 542, 357–372</w:t>
      </w:r>
    </w:p>
    <w:p w14:paraId="176C04BB" w14:textId="77777777" w:rsidR="006C1E72" w:rsidRDefault="006C1E72" w:rsidP="00B35AAF">
      <w:pPr>
        <w:widowControl w:val="0"/>
        <w:autoSpaceDE w:val="0"/>
        <w:autoSpaceDN w:val="0"/>
        <w:adjustRightInd w:val="0"/>
        <w:spacing w:after="120" w:line="240" w:lineRule="auto"/>
        <w:ind w:left="480" w:hanging="480"/>
        <w:rPr>
          <w:rFonts w:ascii="Cambria" w:hAnsi="Cambria"/>
        </w:rPr>
      </w:pPr>
      <w:r>
        <w:rPr>
          <w:rFonts w:ascii="Cambria" w:hAnsi="Cambria"/>
        </w:rPr>
        <w:t>Becker, M., Odoni, N., Lands</w:t>
      </w:r>
      <w:r w:rsidR="0010399B">
        <w:rPr>
          <w:rFonts w:ascii="Cambria" w:hAnsi="Cambria"/>
        </w:rPr>
        <w:t>tröm, C., Whatmore, S. 2017</w:t>
      </w:r>
      <w:r>
        <w:rPr>
          <w:rFonts w:ascii="Cambria" w:hAnsi="Cambria"/>
        </w:rPr>
        <w:t xml:space="preserve"> Community modelling: incorporating local knowledge into hydraulic flood modelling in Otley, Yorkshire </w:t>
      </w:r>
      <w:r>
        <w:rPr>
          <w:rFonts w:ascii="Cambria" w:hAnsi="Cambria"/>
          <w:i/>
        </w:rPr>
        <w:t xml:space="preserve">School of Geography and the Environment </w:t>
      </w:r>
      <w:r>
        <w:rPr>
          <w:rFonts w:ascii="Cambria" w:hAnsi="Cambria"/>
        </w:rPr>
        <w:t xml:space="preserve"> </w:t>
      </w:r>
    </w:p>
    <w:p w14:paraId="25FE4577"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 xml:space="preserve">Bussi, G., Janes, V., Whitehead, P.G., Dadson, S.J., Holman, I.P., 2017. Dynamic response of land use and river nutrient concentration to long-term climatic changes. </w:t>
      </w:r>
      <w:r w:rsidRPr="00CF3752">
        <w:rPr>
          <w:rFonts w:ascii="Cambria" w:hAnsi="Cambria" w:cs="Arial"/>
          <w:i/>
        </w:rPr>
        <w:t>Sci. Total Environ.</w:t>
      </w:r>
      <w:r w:rsidRPr="00B35AAF">
        <w:rPr>
          <w:rFonts w:ascii="Cambria" w:hAnsi="Cambria" w:cs="Arial"/>
        </w:rPr>
        <w:t xml:space="preserve"> 590–591, </w:t>
      </w:r>
      <w:r w:rsidR="00CF3752">
        <w:rPr>
          <w:rFonts w:ascii="Cambria" w:hAnsi="Cambria" w:cs="Arial"/>
        </w:rPr>
        <w:t>818–831</w:t>
      </w:r>
    </w:p>
    <w:p w14:paraId="26BB9D4E"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 xml:space="preserve">Bussi, G., Whitehead, P.G., Bowes, M.J., Read, D.S., Prudhomme, C., Dadson, S.J., 2016b. Impacts of climate change, land-use change and phosphorus reduction on phytoplankton in the River Thames (UK). </w:t>
      </w:r>
      <w:r w:rsidRPr="00CF3752">
        <w:rPr>
          <w:rFonts w:ascii="Cambria" w:hAnsi="Cambria" w:cs="Arial"/>
          <w:i/>
        </w:rPr>
        <w:t>Sci. Total Environ.</w:t>
      </w:r>
      <w:r w:rsidRPr="00B35AAF">
        <w:rPr>
          <w:rFonts w:ascii="Cambria" w:hAnsi="Cambria" w:cs="Arial"/>
        </w:rPr>
        <w:t xml:space="preserve"> 572, 1507–1519</w:t>
      </w:r>
    </w:p>
    <w:p w14:paraId="068E8039"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 xml:space="preserve">Crossman, J., Whitehead, P.G., Futter, M.N., Jin, L., Shahgedanova, M., Castellazzi, M.S., Wade, A.J., 2013. The interactive responses of water quality and hydrology to changes in multiple stressors, and implications for the long-term effective management of phosphorus. </w:t>
      </w:r>
      <w:r w:rsidRPr="00CF3752">
        <w:rPr>
          <w:rFonts w:ascii="Cambria" w:hAnsi="Cambria" w:cs="Arial"/>
          <w:i/>
        </w:rPr>
        <w:t>Sci. Total Environ.</w:t>
      </w:r>
      <w:r w:rsidRPr="00B35AAF">
        <w:rPr>
          <w:rFonts w:ascii="Cambria" w:hAnsi="Cambria" w:cs="Arial"/>
        </w:rPr>
        <w:t xml:space="preserve"> 454–455, 230–44</w:t>
      </w:r>
    </w:p>
    <w:p w14:paraId="23D9B7BE" w14:textId="77777777" w:rsid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Ellis, J.B., Butler, D., 2015. Surface water sewer misconnections in England and Wales: Pollution sources and impacts.</w:t>
      </w:r>
      <w:r w:rsidRPr="00CF3752">
        <w:rPr>
          <w:rFonts w:ascii="Cambria" w:hAnsi="Cambria" w:cs="Arial"/>
          <w:i/>
        </w:rPr>
        <w:t xml:space="preserve"> </w:t>
      </w:r>
      <w:r w:rsidR="00CF3752" w:rsidRPr="00CF3752">
        <w:rPr>
          <w:rFonts w:ascii="Cambria" w:hAnsi="Cambria" w:cs="Arial"/>
          <w:i/>
        </w:rPr>
        <w:t xml:space="preserve">Sci. Total Environ. </w:t>
      </w:r>
      <w:r w:rsidR="00CF3752">
        <w:rPr>
          <w:rFonts w:ascii="Cambria" w:hAnsi="Cambria" w:cs="Arial"/>
        </w:rPr>
        <w:t>526, 98–109</w:t>
      </w:r>
    </w:p>
    <w:p w14:paraId="726AADDE" w14:textId="77777777" w:rsidR="0010399B" w:rsidRDefault="0010399B" w:rsidP="00B35AAF">
      <w:pPr>
        <w:widowControl w:val="0"/>
        <w:autoSpaceDE w:val="0"/>
        <w:autoSpaceDN w:val="0"/>
        <w:adjustRightInd w:val="0"/>
        <w:spacing w:after="120" w:line="240" w:lineRule="auto"/>
        <w:ind w:left="480" w:hanging="480"/>
        <w:rPr>
          <w:rFonts w:ascii="Cambria" w:hAnsi="Cambria" w:cs="Arial"/>
        </w:rPr>
      </w:pPr>
      <w:r>
        <w:rPr>
          <w:rFonts w:ascii="Cambria" w:hAnsi="Cambria" w:cs="Arial"/>
        </w:rPr>
        <w:t xml:space="preserve">EA. 2018 Catchment data explorer </w:t>
      </w:r>
      <w:r w:rsidRPr="0010399B">
        <w:rPr>
          <w:rFonts w:ascii="Cambria" w:hAnsi="Cambria" w:cs="Arial"/>
        </w:rPr>
        <w:t>http://environment.data.gov.uk/catchment-planning/</w:t>
      </w:r>
    </w:p>
    <w:p w14:paraId="019D002F" w14:textId="77777777" w:rsidR="00FB205C" w:rsidRPr="00FB205C" w:rsidRDefault="00FB205C" w:rsidP="00B35AAF">
      <w:pPr>
        <w:widowControl w:val="0"/>
        <w:autoSpaceDE w:val="0"/>
        <w:autoSpaceDN w:val="0"/>
        <w:adjustRightInd w:val="0"/>
        <w:spacing w:after="120" w:line="240" w:lineRule="auto"/>
        <w:ind w:left="480" w:hanging="480"/>
        <w:rPr>
          <w:rFonts w:ascii="Cambria" w:hAnsi="Cambria" w:cs="Arial"/>
          <w:i/>
        </w:rPr>
      </w:pPr>
      <w:r>
        <w:rPr>
          <w:rFonts w:ascii="Cambria" w:hAnsi="Cambria" w:cs="Arial"/>
        </w:rPr>
        <w:t xml:space="preserve">Feld, C.K., Fernandes, M., Ferreira, M.T., Hering, D., Omerod, S.J., Venohr, M., Gutiérrez - Cánovas, C. (2018) Evaluating riparian solutions to multiple stressor problems in river ecosystems - a conceptual study </w:t>
      </w:r>
      <w:r>
        <w:rPr>
          <w:rFonts w:ascii="Cambria" w:hAnsi="Cambria" w:cs="Arial"/>
          <w:i/>
        </w:rPr>
        <w:t xml:space="preserve">Water Research </w:t>
      </w:r>
    </w:p>
    <w:p w14:paraId="7F1CB927"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 xml:space="preserve">Flynn, N.J., Paddison, T., Whitehead, P.G., 2002. INCA Modelling of the Lee System: strategies for the reduction of nitrogen loads. </w:t>
      </w:r>
      <w:r w:rsidRPr="00CF3752">
        <w:rPr>
          <w:rFonts w:ascii="Cambria" w:hAnsi="Cambria" w:cs="Arial"/>
          <w:i/>
        </w:rPr>
        <w:t>Hydrol. Earth Syst. Sci.</w:t>
      </w:r>
      <w:r w:rsidRPr="00B35AAF">
        <w:rPr>
          <w:rFonts w:ascii="Cambria" w:hAnsi="Cambria" w:cs="Arial"/>
        </w:rPr>
        <w:t xml:space="preserve"> 6, 467–484</w:t>
      </w:r>
    </w:p>
    <w:p w14:paraId="0BF80236" w14:textId="77777777" w:rsid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 xml:space="preserve">Futter, M.N., Erlandsson, M.A., Butterfield, D., Whitehead, P.G., Oni, S.K., Wade, A.J., 2014. PERSiST: a flexible rainfall-runoff modelling toolkit for use with the INCA family of models. </w:t>
      </w:r>
      <w:r w:rsidRPr="00B35AAF">
        <w:rPr>
          <w:rFonts w:ascii="Cambria" w:hAnsi="Cambria" w:cs="Arial"/>
          <w:i/>
        </w:rPr>
        <w:t>Hydrol. Earth Syst. Sci</w:t>
      </w:r>
      <w:r w:rsidRPr="00B35AAF">
        <w:rPr>
          <w:rFonts w:ascii="Cambria" w:hAnsi="Cambria" w:cs="Arial"/>
        </w:rPr>
        <w:t>. 18, 855–8</w:t>
      </w:r>
      <w:r>
        <w:rPr>
          <w:rFonts w:ascii="Cambria" w:hAnsi="Cambria" w:cs="Arial"/>
        </w:rPr>
        <w:t>73</w:t>
      </w:r>
    </w:p>
    <w:p w14:paraId="447985FE" w14:textId="77777777" w:rsidR="00641BC4" w:rsidRPr="00B35AAF" w:rsidRDefault="00641BC4" w:rsidP="00B35AAF">
      <w:pPr>
        <w:widowControl w:val="0"/>
        <w:autoSpaceDE w:val="0"/>
        <w:autoSpaceDN w:val="0"/>
        <w:adjustRightInd w:val="0"/>
        <w:spacing w:after="120" w:line="240" w:lineRule="auto"/>
        <w:ind w:left="480" w:hanging="480"/>
        <w:rPr>
          <w:rFonts w:ascii="Cambria" w:hAnsi="Cambria" w:cs="Arial"/>
        </w:rPr>
      </w:pPr>
      <w:r>
        <w:rPr>
          <w:rFonts w:ascii="Cambria" w:hAnsi="Cambria" w:cs="Arial"/>
        </w:rPr>
        <w:t xml:space="preserve">Gilbert, N. (2016) Improvements in water quality by integrated constructed wetlands in the Moore Brook catchment. </w:t>
      </w:r>
    </w:p>
    <w:p w14:paraId="051639D8" w14:textId="77777777" w:rsid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 xml:space="preserve">Jin, L., Whitehead, P.G., Futter, M.N., Lu, Z., 2012. Modelling the impacts of climate change on flow and nitrate in the River Thames: assessing potential adaptation strategies. </w:t>
      </w:r>
      <w:r w:rsidRPr="00CF3752">
        <w:rPr>
          <w:rFonts w:ascii="Cambria" w:hAnsi="Cambria" w:cs="Arial"/>
          <w:i/>
        </w:rPr>
        <w:t>Hydrol. Res.</w:t>
      </w:r>
      <w:r w:rsidRPr="00B35AAF">
        <w:rPr>
          <w:rFonts w:ascii="Cambria" w:hAnsi="Cambria" w:cs="Arial"/>
        </w:rPr>
        <w:t xml:space="preserve"> 43, 902–916</w:t>
      </w:r>
    </w:p>
    <w:p w14:paraId="40B5BB68" w14:textId="77777777" w:rsidR="00CF3752" w:rsidRPr="00B35AAF" w:rsidRDefault="00CF3752" w:rsidP="00B35AAF">
      <w:pPr>
        <w:widowControl w:val="0"/>
        <w:autoSpaceDE w:val="0"/>
        <w:autoSpaceDN w:val="0"/>
        <w:adjustRightInd w:val="0"/>
        <w:spacing w:after="120" w:line="240" w:lineRule="auto"/>
        <w:ind w:left="480" w:hanging="480"/>
        <w:rPr>
          <w:rFonts w:ascii="Cambria" w:hAnsi="Cambria" w:cs="Arial"/>
        </w:rPr>
      </w:pPr>
      <w:r w:rsidRPr="00F27DDA">
        <w:rPr>
          <w:rFonts w:ascii="Cambria" w:hAnsi="Cambria"/>
        </w:rPr>
        <w:t>Landstr</w:t>
      </w:r>
      <w:r w:rsidR="006C1E72">
        <w:rPr>
          <w:rFonts w:ascii="Cambria" w:hAnsi="Cambria"/>
        </w:rPr>
        <w:t>ö</w:t>
      </w:r>
      <w:r w:rsidRPr="00F27DDA">
        <w:rPr>
          <w:rFonts w:ascii="Cambria" w:hAnsi="Cambria"/>
        </w:rPr>
        <w:t>m, C., Whatmore</w:t>
      </w:r>
      <w:r>
        <w:rPr>
          <w:rFonts w:ascii="Cambria" w:hAnsi="Cambria"/>
        </w:rPr>
        <w:t>, S.J., Lane, S. N., Odo</w:t>
      </w:r>
      <w:r w:rsidR="0010399B">
        <w:rPr>
          <w:rFonts w:ascii="Cambria" w:hAnsi="Cambria"/>
        </w:rPr>
        <w:t>ni, N.A., Ward, N. Bradley, S. 2011</w:t>
      </w:r>
      <w:r>
        <w:rPr>
          <w:rFonts w:ascii="Cambria" w:hAnsi="Cambria"/>
        </w:rPr>
        <w:t xml:space="preserve"> Co-producing flood risk knowledge: redistributing expertise in ‘participatory modelling’ </w:t>
      </w:r>
      <w:r>
        <w:rPr>
          <w:rFonts w:ascii="Cambria" w:hAnsi="Cambria"/>
          <w:i/>
        </w:rPr>
        <w:t xml:space="preserve">Environment and Planning A, </w:t>
      </w:r>
      <w:r>
        <w:rPr>
          <w:rFonts w:ascii="Cambria" w:hAnsi="Cambria"/>
        </w:rPr>
        <w:t>43/7: 1617-1633</w:t>
      </w:r>
    </w:p>
    <w:p w14:paraId="16E35781"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 xml:space="preserve">Lázár, A.N., Butterfield, D., Futter, M.N., Rankinen, K., Thouvenot-Korppoo, M., Jarritt, N.P., Lawrence, D.S.L., Wade, A.J., Whitehead, P.G., 2010. An assessment of the fine sediment dynamics in an upland river system: INCA-Sed modifications and implications for fisheries. </w:t>
      </w:r>
      <w:r w:rsidRPr="00B35AAF">
        <w:rPr>
          <w:rFonts w:ascii="Cambria" w:hAnsi="Cambria" w:cs="Arial"/>
          <w:i/>
        </w:rPr>
        <w:t>Sci. Total Environ.</w:t>
      </w:r>
      <w:r>
        <w:rPr>
          <w:rFonts w:ascii="Cambria" w:hAnsi="Cambria" w:cs="Arial"/>
        </w:rPr>
        <w:t xml:space="preserve"> 408, 2555–2566</w:t>
      </w:r>
    </w:p>
    <w:p w14:paraId="2AA0B7B9"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 xml:space="preserve">Lu, Q., Futter, M.N., Nizzetto, L., Bussi, G., Jürgens, M.D., Whitehead, P.., 2016. Fate and Transport of Polychlorinated Biphenyls (PCBs) in the River Thames Catchment – Insights from a Coupled Multimedia Fate and Hydrobiogeochemical Transport Model. </w:t>
      </w:r>
      <w:r w:rsidRPr="00CF3752">
        <w:rPr>
          <w:rFonts w:ascii="Cambria" w:hAnsi="Cambria" w:cs="Arial"/>
          <w:i/>
        </w:rPr>
        <w:t>Sci. Total Environ.</w:t>
      </w:r>
      <w:r w:rsidRPr="00B35AAF">
        <w:rPr>
          <w:rFonts w:ascii="Cambria" w:hAnsi="Cambria" w:cs="Arial"/>
        </w:rPr>
        <w:t xml:space="preserve"> 572, 1461–1470</w:t>
      </w:r>
    </w:p>
    <w:p w14:paraId="72B4EF19"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lastRenderedPageBreak/>
        <w:t>Patroncini, D., 2013. Water quality investigations of the River Lea (NE London). University of Bedfordshire.</w:t>
      </w:r>
    </w:p>
    <w:p w14:paraId="22458972"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Revitt, D.M., Ellis, J.B., 2016. Urban surface water pollution problems arising from misconnections. Sci. Total Environ. 551–552, 163–174. doi:10.1016/j.scitotenv.2016.01.198</w:t>
      </w:r>
    </w:p>
    <w:p w14:paraId="60B69B86"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Smith, G., Beare, M., Boyd, M., Downs, T., Gregory, M., Morton, D., Brown, N., Thomson, A.G., 2007. UK Land Cover Map Production Through the Generalisation of OS Mast</w:t>
      </w:r>
      <w:r w:rsidR="00CF3752">
        <w:rPr>
          <w:rFonts w:ascii="Cambria" w:hAnsi="Cambria" w:cs="Arial"/>
        </w:rPr>
        <w:t>erMap®. Cartogr. J. 44, 276–283</w:t>
      </w:r>
    </w:p>
    <w:p w14:paraId="58795DF6"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 xml:space="preserve">Snook, D.L., Whitehead, P.G., 2004. Water quality and ecology of the River Lee: mass balance and a review of temporal and spatial data. </w:t>
      </w:r>
      <w:r w:rsidRPr="00CF3752">
        <w:rPr>
          <w:rFonts w:ascii="Cambria" w:hAnsi="Cambria" w:cs="Arial"/>
          <w:i/>
        </w:rPr>
        <w:t>Hydro</w:t>
      </w:r>
      <w:r w:rsidR="00CF3752" w:rsidRPr="00CF3752">
        <w:rPr>
          <w:rFonts w:ascii="Cambria" w:hAnsi="Cambria" w:cs="Arial"/>
          <w:i/>
        </w:rPr>
        <w:t xml:space="preserve">l. Earth Syst. Sci. </w:t>
      </w:r>
      <w:r w:rsidR="00CF3752">
        <w:rPr>
          <w:rFonts w:ascii="Cambria" w:hAnsi="Cambria" w:cs="Arial"/>
        </w:rPr>
        <w:t>8, 636–650</w:t>
      </w:r>
    </w:p>
    <w:p w14:paraId="431690FE"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 xml:space="preserve">Wade, A.J., Durand, P., Beaujouan, V., Wessel, W.., Raat, K.J., Whitehead, P.G., Butterfield, D., Rankinen, K., Lepisto, A., 2002a. A nitrogen model for European catchments: INCA, new model structure and equations. </w:t>
      </w:r>
      <w:r w:rsidRPr="00B35AAF">
        <w:rPr>
          <w:rFonts w:ascii="Cambria" w:hAnsi="Cambria" w:cs="Arial"/>
          <w:i/>
        </w:rPr>
        <w:t>Hydrol. Earth Syst. Sci.</w:t>
      </w:r>
      <w:r w:rsidRPr="00B35AAF">
        <w:rPr>
          <w:rFonts w:ascii="Cambria" w:hAnsi="Cambria" w:cs="Arial"/>
        </w:rPr>
        <w:t xml:space="preserve"> 6, 559–</w:t>
      </w:r>
      <w:r>
        <w:rPr>
          <w:rFonts w:ascii="Cambria" w:hAnsi="Cambria" w:cs="Arial"/>
        </w:rPr>
        <w:t>582</w:t>
      </w:r>
    </w:p>
    <w:p w14:paraId="53C525F5" w14:textId="77777777" w:rsidR="00B35AAF" w:rsidRDefault="00B35AAF" w:rsidP="00B35AAF">
      <w:pPr>
        <w:widowControl w:val="0"/>
        <w:autoSpaceDE w:val="0"/>
        <w:autoSpaceDN w:val="0"/>
        <w:adjustRightInd w:val="0"/>
        <w:spacing w:after="120" w:line="240" w:lineRule="auto"/>
        <w:ind w:left="480" w:hanging="480"/>
        <w:rPr>
          <w:rFonts w:ascii="Cambria" w:hAnsi="Cambria" w:cs="Arial"/>
          <w:i/>
        </w:rPr>
      </w:pPr>
      <w:r w:rsidRPr="00B35AAF">
        <w:rPr>
          <w:rFonts w:ascii="Cambria" w:hAnsi="Cambria" w:cs="Arial"/>
        </w:rPr>
        <w:t xml:space="preserve">Wade, A.J., Whitehead, P.G., Butterfield, D., 2002b. The Integrated Catchments model of Phosphorus dynamics (INCA-P), a new approach for multiple source assessment in heterogeneous river systems: model structure and equations. </w:t>
      </w:r>
      <w:r w:rsidRPr="00CF3752">
        <w:rPr>
          <w:rFonts w:ascii="Cambria" w:hAnsi="Cambria" w:cs="Arial"/>
          <w:i/>
        </w:rPr>
        <w:t xml:space="preserve">Hydrol. Earth Syst. Sci. </w:t>
      </w:r>
    </w:p>
    <w:p w14:paraId="4D4DFEFF" w14:textId="77777777" w:rsidR="00641BC4" w:rsidRPr="00641BC4" w:rsidRDefault="00641BC4" w:rsidP="00B35AAF">
      <w:pPr>
        <w:widowControl w:val="0"/>
        <w:autoSpaceDE w:val="0"/>
        <w:autoSpaceDN w:val="0"/>
        <w:adjustRightInd w:val="0"/>
        <w:spacing w:after="120" w:line="240" w:lineRule="auto"/>
        <w:ind w:left="480" w:hanging="480"/>
        <w:rPr>
          <w:rFonts w:ascii="Cambria" w:hAnsi="Cambria" w:cs="Arial"/>
        </w:rPr>
      </w:pPr>
      <w:r w:rsidRPr="00641BC4">
        <w:rPr>
          <w:rFonts w:ascii="Cambria" w:hAnsi="Cambria" w:cs="Arial"/>
        </w:rPr>
        <w:t>Whi</w:t>
      </w:r>
      <w:r w:rsidR="0010399B">
        <w:rPr>
          <w:rFonts w:ascii="Cambria" w:hAnsi="Cambria" w:cs="Arial"/>
        </w:rPr>
        <w:t xml:space="preserve">tehead, P.G. 2017 </w:t>
      </w:r>
      <w:r>
        <w:rPr>
          <w:rFonts w:ascii="Cambria" w:hAnsi="Cambria" w:cs="Arial"/>
        </w:rPr>
        <w:t>Active Water Resilience Incorporating local knowledge in water management of the River Kennet catchment</w:t>
      </w:r>
    </w:p>
    <w:p w14:paraId="443C520E"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Whitehead, P.G., Crossman, J., Balana, B.B., Futter, M.N., Comber, S., Jin, L., Skuras, D., Wade, A.J., Bowes, M.J., Read, D.S., 2013. A cost-effectiveness analysis of water security and water quality: impacts of climate and land-use change on the River Thames system.</w:t>
      </w:r>
      <w:r w:rsidRPr="00CF3752">
        <w:rPr>
          <w:rFonts w:ascii="Cambria" w:hAnsi="Cambria" w:cs="Arial"/>
          <w:i/>
        </w:rPr>
        <w:t xml:space="preserve"> Philos. Trans</w:t>
      </w:r>
      <w:r w:rsidR="00CF3752" w:rsidRPr="00CF3752">
        <w:rPr>
          <w:rFonts w:ascii="Cambria" w:hAnsi="Cambria" w:cs="Arial"/>
          <w:i/>
        </w:rPr>
        <w:t xml:space="preserve">. A. Math. Phys. Eng. Sci. </w:t>
      </w:r>
      <w:r w:rsidR="00CF3752">
        <w:rPr>
          <w:rFonts w:ascii="Cambria" w:hAnsi="Cambria" w:cs="Arial"/>
        </w:rPr>
        <w:t>371</w:t>
      </w:r>
    </w:p>
    <w:p w14:paraId="5924BF9F"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Whitehead, P.G., Leckie, H., Rankinen, K., Butterfield, D., Futter, M.N., Bussi, G., 2016. An INCA model for pathogens in rivers and catchments: Model structure, sensitivity analysis and application to the River Thames catchment, UK.</w:t>
      </w:r>
      <w:r w:rsidRPr="00CF3752">
        <w:rPr>
          <w:rFonts w:ascii="Cambria" w:hAnsi="Cambria" w:cs="Arial"/>
          <w:i/>
        </w:rPr>
        <w:t xml:space="preserve"> Sci.</w:t>
      </w:r>
      <w:r w:rsidR="00CF3752" w:rsidRPr="00CF3752">
        <w:rPr>
          <w:rFonts w:ascii="Cambria" w:hAnsi="Cambria" w:cs="Arial"/>
          <w:i/>
        </w:rPr>
        <w:t xml:space="preserve"> Total Environ</w:t>
      </w:r>
      <w:r w:rsidR="00CF3752">
        <w:rPr>
          <w:rFonts w:ascii="Cambria" w:hAnsi="Cambria" w:cs="Arial"/>
        </w:rPr>
        <w:t>. 572, 1601–1610</w:t>
      </w:r>
    </w:p>
    <w:p w14:paraId="71D81D1C"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 xml:space="preserve">Whitehead, P.G., Wilson, E., Butterfield, D., 1998a. A semi-distributed integrated nitrogen model for multiple source assessment in catchments (INCA): Part I — model structure and process equations. </w:t>
      </w:r>
      <w:r w:rsidRPr="00B35AAF">
        <w:rPr>
          <w:rFonts w:ascii="Cambria" w:hAnsi="Cambria" w:cs="Arial"/>
          <w:i/>
        </w:rPr>
        <w:t>Sci. Total Environ.</w:t>
      </w:r>
      <w:r>
        <w:rPr>
          <w:rFonts w:ascii="Cambria" w:hAnsi="Cambria" w:cs="Arial"/>
        </w:rPr>
        <w:t xml:space="preserve"> 210–211, 547–558</w:t>
      </w:r>
    </w:p>
    <w:p w14:paraId="0AE1C006" w14:textId="77777777" w:rsidR="00B35AAF" w:rsidRPr="00B35AAF" w:rsidRDefault="00B35AAF" w:rsidP="00B35AAF">
      <w:pPr>
        <w:widowControl w:val="0"/>
        <w:autoSpaceDE w:val="0"/>
        <w:autoSpaceDN w:val="0"/>
        <w:adjustRightInd w:val="0"/>
        <w:spacing w:after="120" w:line="240" w:lineRule="auto"/>
        <w:ind w:left="480" w:hanging="480"/>
        <w:rPr>
          <w:rFonts w:ascii="Cambria" w:hAnsi="Cambria" w:cs="Arial"/>
        </w:rPr>
      </w:pPr>
      <w:r w:rsidRPr="00B35AAF">
        <w:rPr>
          <w:rFonts w:ascii="Cambria" w:hAnsi="Cambria" w:cs="Arial"/>
        </w:rPr>
        <w:t>Whitehead, P.G., Wilson, E., Butterfield, D., Seed, K., 1998b. A semi-distributed integrated flow and nitrogen model for multiple source assessment in catchments (INCA): Part II — application to large river basins in south Wales and eastern England.</w:t>
      </w:r>
      <w:r w:rsidRPr="00B35AAF">
        <w:rPr>
          <w:rFonts w:ascii="Cambria" w:hAnsi="Cambria" w:cs="Arial"/>
          <w:i/>
        </w:rPr>
        <w:t xml:space="preserve"> Sci. Total Environ.</w:t>
      </w:r>
      <w:r>
        <w:rPr>
          <w:rFonts w:ascii="Cambria" w:hAnsi="Cambria" w:cs="Arial"/>
        </w:rPr>
        <w:t xml:space="preserve"> 210–211, 559–583</w:t>
      </w:r>
    </w:p>
    <w:p w14:paraId="11905B9B" w14:textId="77777777" w:rsidR="00FD4224" w:rsidRPr="00B35AAF" w:rsidRDefault="00B35AAF" w:rsidP="00B35AAF">
      <w:pPr>
        <w:rPr>
          <w:rFonts w:ascii="Cambria" w:hAnsi="Cambria"/>
        </w:rPr>
      </w:pPr>
      <w:r w:rsidRPr="00B35AAF">
        <w:rPr>
          <w:rFonts w:ascii="Cambria" w:hAnsi="Cambria"/>
        </w:rPr>
        <w:fldChar w:fldCharType="end"/>
      </w:r>
    </w:p>
    <w:sectPr w:rsidR="00FD4224" w:rsidRPr="00B35AAF">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62892E" w15:done="0"/>
  <w15:commentEx w15:paraId="6B687E70" w15:paraIdParent="0462892E" w15:done="0"/>
  <w15:commentEx w15:paraId="2651B706" w15:done="0"/>
  <w15:commentEx w15:paraId="79051817" w15:paraIdParent="2651B706" w15:done="0"/>
  <w15:commentEx w15:paraId="48AE7A4D" w15:done="0"/>
  <w15:commentEx w15:paraId="6EDC93C0" w15:done="0"/>
  <w15:commentEx w15:paraId="0245E787" w15:done="0"/>
  <w15:commentEx w15:paraId="17C38B68" w15:done="0"/>
  <w15:commentEx w15:paraId="639C4F29" w15:paraIdParent="17C38B68" w15:done="0"/>
  <w15:commentEx w15:paraId="51AC08B1" w15:done="0"/>
  <w15:commentEx w15:paraId="6F8D8A13" w15:paraIdParent="51AC08B1" w15:done="0"/>
  <w15:commentEx w15:paraId="52FBEBED" w15:done="0"/>
  <w15:commentEx w15:paraId="4E65D1AE" w15:done="0"/>
  <w15:commentEx w15:paraId="25975E3C" w15:paraIdParent="4E65D1AE" w15:done="0"/>
  <w15:commentEx w15:paraId="07AE0659" w15:done="0"/>
  <w15:commentEx w15:paraId="4DDE1422" w15:paraIdParent="07AE0659" w15:done="0"/>
  <w15:commentEx w15:paraId="747CA3C8" w15:done="0"/>
  <w15:commentEx w15:paraId="4829D8DE" w15:paraIdParent="747CA3C8" w15:done="0"/>
  <w15:commentEx w15:paraId="50A8380F" w15:done="0"/>
  <w15:commentEx w15:paraId="44DC6C11" w15:paraIdParent="50A8380F" w15:done="0"/>
  <w15:commentEx w15:paraId="02A34526" w15:done="0"/>
  <w15:commentEx w15:paraId="0853AED6" w15:paraIdParent="02A3452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836DF"/>
    <w:multiLevelType w:val="hybridMultilevel"/>
    <w:tmpl w:val="6448775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13F3084F"/>
    <w:multiLevelType w:val="multilevel"/>
    <w:tmpl w:val="60BEC35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D8C0FA8"/>
    <w:multiLevelType w:val="multilevel"/>
    <w:tmpl w:val="B75277C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3D3D1510"/>
    <w:multiLevelType w:val="multilevel"/>
    <w:tmpl w:val="60BEC35A"/>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5B115573"/>
    <w:multiLevelType w:val="hybridMultilevel"/>
    <w:tmpl w:val="793C79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1"/>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sie Nelson">
    <w15:presenceInfo w15:providerId="AD" w15:userId="S-1-5-21-2143150602-2018564854-975036923-22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B32"/>
    <w:rsid w:val="00005BBA"/>
    <w:rsid w:val="00034BA7"/>
    <w:rsid w:val="00045FE6"/>
    <w:rsid w:val="00053E5F"/>
    <w:rsid w:val="00066248"/>
    <w:rsid w:val="00084F73"/>
    <w:rsid w:val="000A16D3"/>
    <w:rsid w:val="000A2F84"/>
    <w:rsid w:val="000C2788"/>
    <w:rsid w:val="000E0743"/>
    <w:rsid w:val="000E1FDD"/>
    <w:rsid w:val="0010399B"/>
    <w:rsid w:val="0011007B"/>
    <w:rsid w:val="00112C16"/>
    <w:rsid w:val="00131B5E"/>
    <w:rsid w:val="00133DE3"/>
    <w:rsid w:val="00145E03"/>
    <w:rsid w:val="00167A72"/>
    <w:rsid w:val="00187BFE"/>
    <w:rsid w:val="001B032D"/>
    <w:rsid w:val="001B358B"/>
    <w:rsid w:val="001D6BB4"/>
    <w:rsid w:val="00242CE5"/>
    <w:rsid w:val="002752DE"/>
    <w:rsid w:val="002832B4"/>
    <w:rsid w:val="00284182"/>
    <w:rsid w:val="002A45BF"/>
    <w:rsid w:val="002C04D8"/>
    <w:rsid w:val="002C515F"/>
    <w:rsid w:val="00324B71"/>
    <w:rsid w:val="00333924"/>
    <w:rsid w:val="003474E4"/>
    <w:rsid w:val="003514F2"/>
    <w:rsid w:val="00362B4C"/>
    <w:rsid w:val="00372D53"/>
    <w:rsid w:val="00382BAC"/>
    <w:rsid w:val="00384D94"/>
    <w:rsid w:val="0041076D"/>
    <w:rsid w:val="00441B32"/>
    <w:rsid w:val="00461425"/>
    <w:rsid w:val="00475A28"/>
    <w:rsid w:val="004956D1"/>
    <w:rsid w:val="004B2CE8"/>
    <w:rsid w:val="004F6B52"/>
    <w:rsid w:val="005121CC"/>
    <w:rsid w:val="00520F43"/>
    <w:rsid w:val="005260E2"/>
    <w:rsid w:val="00526458"/>
    <w:rsid w:val="005273B9"/>
    <w:rsid w:val="00553C9B"/>
    <w:rsid w:val="00556E52"/>
    <w:rsid w:val="00567EF6"/>
    <w:rsid w:val="005B390E"/>
    <w:rsid w:val="005D2170"/>
    <w:rsid w:val="005D49C4"/>
    <w:rsid w:val="006034C4"/>
    <w:rsid w:val="00641BC4"/>
    <w:rsid w:val="006A692A"/>
    <w:rsid w:val="006B31DA"/>
    <w:rsid w:val="006C1E72"/>
    <w:rsid w:val="00714DB3"/>
    <w:rsid w:val="00725BF5"/>
    <w:rsid w:val="00756B15"/>
    <w:rsid w:val="007769A9"/>
    <w:rsid w:val="007B3030"/>
    <w:rsid w:val="007B4101"/>
    <w:rsid w:val="007F2837"/>
    <w:rsid w:val="00806F9C"/>
    <w:rsid w:val="00823050"/>
    <w:rsid w:val="0086454E"/>
    <w:rsid w:val="00864C31"/>
    <w:rsid w:val="008849D7"/>
    <w:rsid w:val="00896362"/>
    <w:rsid w:val="0089643A"/>
    <w:rsid w:val="008A077C"/>
    <w:rsid w:val="008B0D57"/>
    <w:rsid w:val="008D0C2C"/>
    <w:rsid w:val="00933A85"/>
    <w:rsid w:val="00947FB6"/>
    <w:rsid w:val="00977F5C"/>
    <w:rsid w:val="009815F7"/>
    <w:rsid w:val="009964E6"/>
    <w:rsid w:val="009D788E"/>
    <w:rsid w:val="00A26A90"/>
    <w:rsid w:val="00A8775E"/>
    <w:rsid w:val="00AA445B"/>
    <w:rsid w:val="00B35AAF"/>
    <w:rsid w:val="00B5038F"/>
    <w:rsid w:val="00B62F40"/>
    <w:rsid w:val="00BA2068"/>
    <w:rsid w:val="00BD13EB"/>
    <w:rsid w:val="00BD55AA"/>
    <w:rsid w:val="00BD5BFB"/>
    <w:rsid w:val="00C46C3A"/>
    <w:rsid w:val="00C97974"/>
    <w:rsid w:val="00CC6027"/>
    <w:rsid w:val="00CF3752"/>
    <w:rsid w:val="00CF5881"/>
    <w:rsid w:val="00D40B1D"/>
    <w:rsid w:val="00D66112"/>
    <w:rsid w:val="00D81406"/>
    <w:rsid w:val="00DA1D02"/>
    <w:rsid w:val="00DA5D5A"/>
    <w:rsid w:val="00DC777F"/>
    <w:rsid w:val="00DD48D9"/>
    <w:rsid w:val="00DD4C72"/>
    <w:rsid w:val="00E069EA"/>
    <w:rsid w:val="00E2299C"/>
    <w:rsid w:val="00E350B0"/>
    <w:rsid w:val="00E65EDB"/>
    <w:rsid w:val="00E6622D"/>
    <w:rsid w:val="00E67E7C"/>
    <w:rsid w:val="00EB3193"/>
    <w:rsid w:val="00ED4DC4"/>
    <w:rsid w:val="00F17E0E"/>
    <w:rsid w:val="00F27DDA"/>
    <w:rsid w:val="00F43C13"/>
    <w:rsid w:val="00F80A01"/>
    <w:rsid w:val="00F92006"/>
    <w:rsid w:val="00F953A2"/>
    <w:rsid w:val="00FB205C"/>
    <w:rsid w:val="00FD4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4B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1B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41B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1B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1B3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1B3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41B32"/>
    <w:pPr>
      <w:outlineLvl w:val="9"/>
    </w:pPr>
    <w:rPr>
      <w:lang w:val="en-US"/>
    </w:rPr>
  </w:style>
  <w:style w:type="paragraph" w:styleId="Subtitle">
    <w:name w:val="Subtitle"/>
    <w:basedOn w:val="Normal"/>
    <w:next w:val="Normal"/>
    <w:link w:val="SubtitleChar"/>
    <w:uiPriority w:val="11"/>
    <w:qFormat/>
    <w:rsid w:val="00441B3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1B32"/>
    <w:rPr>
      <w:rFonts w:eastAsiaTheme="minorEastAsia"/>
      <w:color w:val="5A5A5A" w:themeColor="text1" w:themeTint="A5"/>
      <w:spacing w:val="15"/>
    </w:rPr>
  </w:style>
  <w:style w:type="paragraph" w:styleId="TOC1">
    <w:name w:val="toc 1"/>
    <w:basedOn w:val="Normal"/>
    <w:next w:val="Normal"/>
    <w:autoRedefine/>
    <w:uiPriority w:val="39"/>
    <w:unhideWhenUsed/>
    <w:rsid w:val="00441B32"/>
    <w:pPr>
      <w:spacing w:after="100"/>
    </w:pPr>
  </w:style>
  <w:style w:type="character" w:styleId="Hyperlink">
    <w:name w:val="Hyperlink"/>
    <w:basedOn w:val="DefaultParagraphFont"/>
    <w:uiPriority w:val="99"/>
    <w:unhideWhenUsed/>
    <w:rsid w:val="00441B32"/>
    <w:rPr>
      <w:color w:val="0563C1" w:themeColor="hyperlink"/>
      <w:u w:val="single"/>
    </w:rPr>
  </w:style>
  <w:style w:type="paragraph" w:styleId="ListParagraph">
    <w:name w:val="List Paragraph"/>
    <w:basedOn w:val="Normal"/>
    <w:uiPriority w:val="34"/>
    <w:qFormat/>
    <w:rsid w:val="00441B32"/>
    <w:pPr>
      <w:ind w:left="720"/>
      <w:contextualSpacing/>
    </w:pPr>
  </w:style>
  <w:style w:type="character" w:customStyle="1" w:styleId="Heading2Char">
    <w:name w:val="Heading 2 Char"/>
    <w:basedOn w:val="DefaultParagraphFont"/>
    <w:link w:val="Heading2"/>
    <w:uiPriority w:val="9"/>
    <w:rsid w:val="00441B32"/>
    <w:rPr>
      <w:rFonts w:asciiTheme="majorHAnsi" w:eastAsiaTheme="majorEastAsia" w:hAnsiTheme="majorHAnsi" w:cstheme="majorBidi"/>
      <w:color w:val="2E74B5" w:themeColor="accent1" w:themeShade="BF"/>
      <w:sz w:val="26"/>
      <w:szCs w:val="26"/>
    </w:rPr>
  </w:style>
  <w:style w:type="character" w:customStyle="1" w:styleId="font">
    <w:name w:val="font"/>
    <w:basedOn w:val="DefaultParagraphFont"/>
    <w:rsid w:val="000C2788"/>
  </w:style>
  <w:style w:type="paragraph" w:styleId="Caption">
    <w:name w:val="caption"/>
    <w:basedOn w:val="Normal"/>
    <w:next w:val="Normal"/>
    <w:uiPriority w:val="35"/>
    <w:unhideWhenUsed/>
    <w:qFormat/>
    <w:rsid w:val="00806F9C"/>
    <w:pPr>
      <w:spacing w:after="200" w:line="240" w:lineRule="auto"/>
      <w:jc w:val="both"/>
    </w:pPr>
    <w:rPr>
      <w:rFonts w:ascii="Arial" w:hAnsi="Arial"/>
      <w:b/>
      <w:bCs/>
      <w:sz w:val="18"/>
      <w:szCs w:val="18"/>
    </w:rPr>
  </w:style>
  <w:style w:type="paragraph" w:styleId="BalloonText">
    <w:name w:val="Balloon Text"/>
    <w:basedOn w:val="Normal"/>
    <w:link w:val="BalloonTextChar"/>
    <w:uiPriority w:val="99"/>
    <w:semiHidden/>
    <w:unhideWhenUsed/>
    <w:rsid w:val="00187B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7BFE"/>
    <w:rPr>
      <w:rFonts w:ascii="Segoe UI" w:hAnsi="Segoe UI" w:cs="Segoe UI"/>
      <w:sz w:val="18"/>
      <w:szCs w:val="18"/>
    </w:rPr>
  </w:style>
  <w:style w:type="character" w:styleId="CommentReference">
    <w:name w:val="annotation reference"/>
    <w:basedOn w:val="DefaultParagraphFont"/>
    <w:uiPriority w:val="99"/>
    <w:semiHidden/>
    <w:unhideWhenUsed/>
    <w:rsid w:val="00F80A01"/>
    <w:rPr>
      <w:sz w:val="16"/>
      <w:szCs w:val="16"/>
    </w:rPr>
  </w:style>
  <w:style w:type="paragraph" w:styleId="CommentText">
    <w:name w:val="annotation text"/>
    <w:basedOn w:val="Normal"/>
    <w:link w:val="CommentTextChar"/>
    <w:uiPriority w:val="99"/>
    <w:semiHidden/>
    <w:unhideWhenUsed/>
    <w:rsid w:val="00F80A01"/>
    <w:pPr>
      <w:spacing w:line="240" w:lineRule="auto"/>
    </w:pPr>
    <w:rPr>
      <w:sz w:val="20"/>
      <w:szCs w:val="20"/>
    </w:rPr>
  </w:style>
  <w:style w:type="character" w:customStyle="1" w:styleId="CommentTextChar">
    <w:name w:val="Comment Text Char"/>
    <w:basedOn w:val="DefaultParagraphFont"/>
    <w:link w:val="CommentText"/>
    <w:uiPriority w:val="99"/>
    <w:semiHidden/>
    <w:rsid w:val="00F80A01"/>
    <w:rPr>
      <w:sz w:val="20"/>
      <w:szCs w:val="20"/>
    </w:rPr>
  </w:style>
  <w:style w:type="paragraph" w:styleId="CommentSubject">
    <w:name w:val="annotation subject"/>
    <w:basedOn w:val="CommentText"/>
    <w:next w:val="CommentText"/>
    <w:link w:val="CommentSubjectChar"/>
    <w:uiPriority w:val="99"/>
    <w:semiHidden/>
    <w:unhideWhenUsed/>
    <w:rsid w:val="00F80A01"/>
    <w:rPr>
      <w:b/>
      <w:bCs/>
    </w:rPr>
  </w:style>
  <w:style w:type="character" w:customStyle="1" w:styleId="CommentSubjectChar">
    <w:name w:val="Comment Subject Char"/>
    <w:basedOn w:val="CommentTextChar"/>
    <w:link w:val="CommentSubject"/>
    <w:uiPriority w:val="99"/>
    <w:semiHidden/>
    <w:rsid w:val="00F80A0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41B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41B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1B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1B3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1B3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41B32"/>
    <w:pPr>
      <w:outlineLvl w:val="9"/>
    </w:pPr>
    <w:rPr>
      <w:lang w:val="en-US"/>
    </w:rPr>
  </w:style>
  <w:style w:type="paragraph" w:styleId="Subtitle">
    <w:name w:val="Subtitle"/>
    <w:basedOn w:val="Normal"/>
    <w:next w:val="Normal"/>
    <w:link w:val="SubtitleChar"/>
    <w:uiPriority w:val="11"/>
    <w:qFormat/>
    <w:rsid w:val="00441B32"/>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41B32"/>
    <w:rPr>
      <w:rFonts w:eastAsiaTheme="minorEastAsia"/>
      <w:color w:val="5A5A5A" w:themeColor="text1" w:themeTint="A5"/>
      <w:spacing w:val="15"/>
    </w:rPr>
  </w:style>
  <w:style w:type="paragraph" w:styleId="TOC1">
    <w:name w:val="toc 1"/>
    <w:basedOn w:val="Normal"/>
    <w:next w:val="Normal"/>
    <w:autoRedefine/>
    <w:uiPriority w:val="39"/>
    <w:unhideWhenUsed/>
    <w:rsid w:val="00441B32"/>
    <w:pPr>
      <w:spacing w:after="100"/>
    </w:pPr>
  </w:style>
  <w:style w:type="character" w:styleId="Hyperlink">
    <w:name w:val="Hyperlink"/>
    <w:basedOn w:val="DefaultParagraphFont"/>
    <w:uiPriority w:val="99"/>
    <w:unhideWhenUsed/>
    <w:rsid w:val="00441B32"/>
    <w:rPr>
      <w:color w:val="0563C1" w:themeColor="hyperlink"/>
      <w:u w:val="single"/>
    </w:rPr>
  </w:style>
  <w:style w:type="paragraph" w:styleId="ListParagraph">
    <w:name w:val="List Paragraph"/>
    <w:basedOn w:val="Normal"/>
    <w:uiPriority w:val="34"/>
    <w:qFormat/>
    <w:rsid w:val="00441B32"/>
    <w:pPr>
      <w:ind w:left="720"/>
      <w:contextualSpacing/>
    </w:pPr>
  </w:style>
  <w:style w:type="character" w:customStyle="1" w:styleId="Heading2Char">
    <w:name w:val="Heading 2 Char"/>
    <w:basedOn w:val="DefaultParagraphFont"/>
    <w:link w:val="Heading2"/>
    <w:uiPriority w:val="9"/>
    <w:rsid w:val="00441B32"/>
    <w:rPr>
      <w:rFonts w:asciiTheme="majorHAnsi" w:eastAsiaTheme="majorEastAsia" w:hAnsiTheme="majorHAnsi" w:cstheme="majorBidi"/>
      <w:color w:val="2E74B5" w:themeColor="accent1" w:themeShade="BF"/>
      <w:sz w:val="26"/>
      <w:szCs w:val="26"/>
    </w:rPr>
  </w:style>
  <w:style w:type="character" w:customStyle="1" w:styleId="font">
    <w:name w:val="font"/>
    <w:basedOn w:val="DefaultParagraphFont"/>
    <w:rsid w:val="000C2788"/>
  </w:style>
  <w:style w:type="paragraph" w:styleId="Caption">
    <w:name w:val="caption"/>
    <w:basedOn w:val="Normal"/>
    <w:next w:val="Normal"/>
    <w:uiPriority w:val="35"/>
    <w:unhideWhenUsed/>
    <w:qFormat/>
    <w:rsid w:val="00806F9C"/>
    <w:pPr>
      <w:spacing w:after="200" w:line="240" w:lineRule="auto"/>
      <w:jc w:val="both"/>
    </w:pPr>
    <w:rPr>
      <w:rFonts w:ascii="Arial" w:hAnsi="Arial"/>
      <w:b/>
      <w:bCs/>
      <w:sz w:val="18"/>
      <w:szCs w:val="18"/>
    </w:rPr>
  </w:style>
  <w:style w:type="paragraph" w:styleId="BalloonText">
    <w:name w:val="Balloon Text"/>
    <w:basedOn w:val="Normal"/>
    <w:link w:val="BalloonTextChar"/>
    <w:uiPriority w:val="99"/>
    <w:semiHidden/>
    <w:unhideWhenUsed/>
    <w:rsid w:val="00187B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7BFE"/>
    <w:rPr>
      <w:rFonts w:ascii="Segoe UI" w:hAnsi="Segoe UI" w:cs="Segoe UI"/>
      <w:sz w:val="18"/>
      <w:szCs w:val="18"/>
    </w:rPr>
  </w:style>
  <w:style w:type="character" w:styleId="CommentReference">
    <w:name w:val="annotation reference"/>
    <w:basedOn w:val="DefaultParagraphFont"/>
    <w:uiPriority w:val="99"/>
    <w:semiHidden/>
    <w:unhideWhenUsed/>
    <w:rsid w:val="00F80A01"/>
    <w:rPr>
      <w:sz w:val="16"/>
      <w:szCs w:val="16"/>
    </w:rPr>
  </w:style>
  <w:style w:type="paragraph" w:styleId="CommentText">
    <w:name w:val="annotation text"/>
    <w:basedOn w:val="Normal"/>
    <w:link w:val="CommentTextChar"/>
    <w:uiPriority w:val="99"/>
    <w:semiHidden/>
    <w:unhideWhenUsed/>
    <w:rsid w:val="00F80A01"/>
    <w:pPr>
      <w:spacing w:line="240" w:lineRule="auto"/>
    </w:pPr>
    <w:rPr>
      <w:sz w:val="20"/>
      <w:szCs w:val="20"/>
    </w:rPr>
  </w:style>
  <w:style w:type="character" w:customStyle="1" w:styleId="CommentTextChar">
    <w:name w:val="Comment Text Char"/>
    <w:basedOn w:val="DefaultParagraphFont"/>
    <w:link w:val="CommentText"/>
    <w:uiPriority w:val="99"/>
    <w:semiHidden/>
    <w:rsid w:val="00F80A01"/>
    <w:rPr>
      <w:sz w:val="20"/>
      <w:szCs w:val="20"/>
    </w:rPr>
  </w:style>
  <w:style w:type="paragraph" w:styleId="CommentSubject">
    <w:name w:val="annotation subject"/>
    <w:basedOn w:val="CommentText"/>
    <w:next w:val="CommentText"/>
    <w:link w:val="CommentSubjectChar"/>
    <w:uiPriority w:val="99"/>
    <w:semiHidden/>
    <w:unhideWhenUsed/>
    <w:rsid w:val="00F80A01"/>
    <w:rPr>
      <w:b/>
      <w:bCs/>
    </w:rPr>
  </w:style>
  <w:style w:type="character" w:customStyle="1" w:styleId="CommentSubjectChar">
    <w:name w:val="Comment Subject Char"/>
    <w:basedOn w:val="CommentTextChar"/>
    <w:link w:val="CommentSubject"/>
    <w:uiPriority w:val="99"/>
    <w:semiHidden/>
    <w:rsid w:val="00F80A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645817">
      <w:bodyDiv w:val="1"/>
      <w:marLeft w:val="0"/>
      <w:marRight w:val="0"/>
      <w:marTop w:val="0"/>
      <w:marBottom w:val="0"/>
      <w:divBdr>
        <w:top w:val="none" w:sz="0" w:space="0" w:color="auto"/>
        <w:left w:val="none" w:sz="0" w:space="0" w:color="auto"/>
        <w:bottom w:val="none" w:sz="0" w:space="0" w:color="auto"/>
        <w:right w:val="none" w:sz="0" w:space="0" w:color="auto"/>
      </w:divBdr>
    </w:div>
    <w:div w:id="594165696">
      <w:bodyDiv w:val="1"/>
      <w:marLeft w:val="0"/>
      <w:marRight w:val="0"/>
      <w:marTop w:val="0"/>
      <w:marBottom w:val="0"/>
      <w:divBdr>
        <w:top w:val="none" w:sz="0" w:space="0" w:color="auto"/>
        <w:left w:val="none" w:sz="0" w:space="0" w:color="auto"/>
        <w:bottom w:val="none" w:sz="0" w:space="0" w:color="auto"/>
        <w:right w:val="none" w:sz="0" w:space="0" w:color="auto"/>
      </w:divBdr>
    </w:div>
    <w:div w:id="982391590">
      <w:bodyDiv w:val="1"/>
      <w:marLeft w:val="0"/>
      <w:marRight w:val="0"/>
      <w:marTop w:val="0"/>
      <w:marBottom w:val="0"/>
      <w:divBdr>
        <w:top w:val="none" w:sz="0" w:space="0" w:color="auto"/>
        <w:left w:val="none" w:sz="0" w:space="0" w:color="auto"/>
        <w:bottom w:val="none" w:sz="0" w:space="0" w:color="auto"/>
        <w:right w:val="none" w:sz="0" w:space="0" w:color="auto"/>
      </w:divBdr>
    </w:div>
    <w:div w:id="171719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chart" Target="charts/chart1.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Rosie.Nelson.THAMES21\Documents\INCA%20software\Scenarios\Pymmes\PB_calibrate_allwetlands_INCA%20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osie.Nelson.THAMES21\Documents\INCA%20software\Scenarios\Ching\Ching%20INCA%20N%20cal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Ammonium</a:t>
            </a:r>
          </a:p>
        </c:rich>
      </c:tx>
      <c:layout/>
      <c:overlay val="0"/>
      <c:spPr>
        <a:noFill/>
        <a:ln>
          <a:noFill/>
        </a:ln>
        <a:effectLst/>
      </c:spPr>
    </c:title>
    <c:autoTitleDeleted val="0"/>
    <c:plotArea>
      <c:layout/>
      <c:barChart>
        <c:barDir val="col"/>
        <c:grouping val="clustered"/>
        <c:varyColors val="0"/>
        <c:ser>
          <c:idx val="0"/>
          <c:order val="0"/>
          <c:tx>
            <c:v>Simulated</c:v>
          </c:tx>
          <c:spPr>
            <a:solidFill>
              <a:schemeClr val="accent1"/>
            </a:solidFill>
            <a:ln>
              <a:noFill/>
            </a:ln>
            <a:effectLst/>
          </c:spPr>
          <c:invertIfNegative val="0"/>
          <c:cat>
            <c:strRef>
              <c:f>Comparison!$B$6:$B$18</c:f>
              <c:strCache>
                <c:ptCount val="13"/>
                <c:pt idx="0">
                  <c:v>Period</c:v>
                </c:pt>
                <c:pt idx="1">
                  <c:v>Jan</c:v>
                </c:pt>
                <c:pt idx="2">
                  <c:v>Feb</c:v>
                </c:pt>
                <c:pt idx="3">
                  <c:v>Mar</c:v>
                </c:pt>
                <c:pt idx="4">
                  <c:v>Apr</c:v>
                </c:pt>
                <c:pt idx="5">
                  <c:v>May</c:v>
                </c:pt>
                <c:pt idx="6">
                  <c:v>Jun</c:v>
                </c:pt>
                <c:pt idx="7">
                  <c:v>Jul</c:v>
                </c:pt>
                <c:pt idx="8">
                  <c:v>Aug</c:v>
                </c:pt>
                <c:pt idx="9">
                  <c:v>Sep</c:v>
                </c:pt>
                <c:pt idx="10">
                  <c:v>Oct</c:v>
                </c:pt>
                <c:pt idx="11">
                  <c:v>Nov</c:v>
                </c:pt>
                <c:pt idx="12">
                  <c:v>Dec</c:v>
                </c:pt>
              </c:strCache>
            </c:strRef>
          </c:cat>
          <c:val>
            <c:numRef>
              <c:f>Comparison!$F$6:$F$18</c:f>
              <c:numCache>
                <c:formatCode>General</c:formatCode>
                <c:ptCount val="13"/>
                <c:pt idx="0">
                  <c:v>0.7218</c:v>
                </c:pt>
                <c:pt idx="1">
                  <c:v>0.67379999999999995</c:v>
                </c:pt>
                <c:pt idx="2">
                  <c:v>0.70950000000000002</c:v>
                </c:pt>
                <c:pt idx="3">
                  <c:v>0.81389999999999996</c:v>
                </c:pt>
                <c:pt idx="4">
                  <c:v>0.86570000000000003</c:v>
                </c:pt>
                <c:pt idx="5">
                  <c:v>0.66830000000000001</c:v>
                </c:pt>
                <c:pt idx="6">
                  <c:v>0.67969999999999997</c:v>
                </c:pt>
                <c:pt idx="7">
                  <c:v>0.67300000000000004</c:v>
                </c:pt>
                <c:pt idx="8">
                  <c:v>0.61280000000000001</c:v>
                </c:pt>
                <c:pt idx="9">
                  <c:v>0.84150000000000003</c:v>
                </c:pt>
                <c:pt idx="10">
                  <c:v>0.72060000000000002</c:v>
                </c:pt>
                <c:pt idx="11">
                  <c:v>0.65339999999999998</c:v>
                </c:pt>
                <c:pt idx="12">
                  <c:v>0.75670000000000004</c:v>
                </c:pt>
              </c:numCache>
            </c:numRef>
          </c:val>
        </c:ser>
        <c:ser>
          <c:idx val="1"/>
          <c:order val="1"/>
          <c:tx>
            <c:v>Scenario</c:v>
          </c:tx>
          <c:spPr>
            <a:solidFill>
              <a:schemeClr val="accent1">
                <a:lumMod val="40000"/>
                <a:lumOff val="60000"/>
              </a:schemeClr>
            </a:solidFill>
            <a:ln>
              <a:noFill/>
            </a:ln>
            <a:effectLst/>
          </c:spPr>
          <c:invertIfNegative val="0"/>
          <c:cat>
            <c:strRef>
              <c:f>Comparison!$B$6:$B$18</c:f>
              <c:strCache>
                <c:ptCount val="13"/>
                <c:pt idx="0">
                  <c:v>Period</c:v>
                </c:pt>
                <c:pt idx="1">
                  <c:v>Jan</c:v>
                </c:pt>
                <c:pt idx="2">
                  <c:v>Feb</c:v>
                </c:pt>
                <c:pt idx="3">
                  <c:v>Mar</c:v>
                </c:pt>
                <c:pt idx="4">
                  <c:v>Apr</c:v>
                </c:pt>
                <c:pt idx="5">
                  <c:v>May</c:v>
                </c:pt>
                <c:pt idx="6">
                  <c:v>Jun</c:v>
                </c:pt>
                <c:pt idx="7">
                  <c:v>Jul</c:v>
                </c:pt>
                <c:pt idx="8">
                  <c:v>Aug</c:v>
                </c:pt>
                <c:pt idx="9">
                  <c:v>Sep</c:v>
                </c:pt>
                <c:pt idx="10">
                  <c:v>Oct</c:v>
                </c:pt>
                <c:pt idx="11">
                  <c:v>Nov</c:v>
                </c:pt>
                <c:pt idx="12">
                  <c:v>Dec</c:v>
                </c:pt>
              </c:strCache>
            </c:strRef>
          </c:cat>
          <c:val>
            <c:numRef>
              <c:f>Comparison!$N$6:$N$18</c:f>
              <c:numCache>
                <c:formatCode>General</c:formatCode>
                <c:ptCount val="13"/>
                <c:pt idx="0">
                  <c:v>0.66920000000000002</c:v>
                </c:pt>
                <c:pt idx="1">
                  <c:v>0.61960000000000004</c:v>
                </c:pt>
                <c:pt idx="2">
                  <c:v>0.64700000000000002</c:v>
                </c:pt>
                <c:pt idx="3">
                  <c:v>0.73780000000000001</c:v>
                </c:pt>
                <c:pt idx="4">
                  <c:v>0.79579999999999995</c:v>
                </c:pt>
                <c:pt idx="5">
                  <c:v>0.62760000000000005</c:v>
                </c:pt>
                <c:pt idx="6">
                  <c:v>0.63400000000000001</c:v>
                </c:pt>
                <c:pt idx="7">
                  <c:v>0.63180000000000003</c:v>
                </c:pt>
                <c:pt idx="8">
                  <c:v>0.57969999999999999</c:v>
                </c:pt>
                <c:pt idx="9">
                  <c:v>0.77669999999999995</c:v>
                </c:pt>
                <c:pt idx="10">
                  <c:v>0.68110000000000004</c:v>
                </c:pt>
                <c:pt idx="11">
                  <c:v>0.60899999999999999</c:v>
                </c:pt>
                <c:pt idx="12">
                  <c:v>0.69720000000000004</c:v>
                </c:pt>
              </c:numCache>
            </c:numRef>
          </c:val>
        </c:ser>
        <c:dLbls>
          <c:showLegendKey val="0"/>
          <c:showVal val="0"/>
          <c:showCatName val="0"/>
          <c:showSerName val="0"/>
          <c:showPercent val="0"/>
          <c:showBubbleSize val="0"/>
        </c:dLbls>
        <c:gapWidth val="150"/>
        <c:axId val="143064448"/>
        <c:axId val="143066240"/>
      </c:barChart>
      <c:lineChart>
        <c:grouping val="standard"/>
        <c:varyColors val="0"/>
        <c:ser>
          <c:idx val="2"/>
          <c:order val="2"/>
          <c:tx>
            <c:strRef>
              <c:f>Comparison!$Q$5</c:f>
              <c:strCache>
                <c:ptCount val="1"/>
                <c:pt idx="0">
                  <c:v>Good</c:v>
                </c:pt>
              </c:strCache>
            </c:strRef>
          </c:tx>
          <c:spPr>
            <a:ln w="28575" cap="rnd">
              <a:solidFill>
                <a:schemeClr val="accent6"/>
              </a:solidFill>
              <a:round/>
            </a:ln>
            <a:effectLst/>
          </c:spPr>
          <c:marker>
            <c:symbol val="none"/>
          </c:marker>
          <c:val>
            <c:numRef>
              <c:f>Comparison!$Q$6:$Q$18</c:f>
              <c:numCache>
                <c:formatCode>General</c:formatCode>
                <c:ptCount val="13"/>
                <c:pt idx="0">
                  <c:v>0.6</c:v>
                </c:pt>
                <c:pt idx="1">
                  <c:v>0.6</c:v>
                </c:pt>
                <c:pt idx="2">
                  <c:v>0.6</c:v>
                </c:pt>
                <c:pt idx="3">
                  <c:v>0.6</c:v>
                </c:pt>
                <c:pt idx="4">
                  <c:v>0.6</c:v>
                </c:pt>
                <c:pt idx="5">
                  <c:v>0.6</c:v>
                </c:pt>
                <c:pt idx="6">
                  <c:v>0.6</c:v>
                </c:pt>
                <c:pt idx="7">
                  <c:v>0.6</c:v>
                </c:pt>
                <c:pt idx="8">
                  <c:v>0.6</c:v>
                </c:pt>
                <c:pt idx="9">
                  <c:v>0.6</c:v>
                </c:pt>
                <c:pt idx="10">
                  <c:v>0.6</c:v>
                </c:pt>
                <c:pt idx="11">
                  <c:v>0.6</c:v>
                </c:pt>
                <c:pt idx="12">
                  <c:v>0.6</c:v>
                </c:pt>
              </c:numCache>
            </c:numRef>
          </c:val>
          <c:smooth val="0"/>
        </c:ser>
        <c:dLbls>
          <c:showLegendKey val="0"/>
          <c:showVal val="0"/>
          <c:showCatName val="0"/>
          <c:showSerName val="0"/>
          <c:showPercent val="0"/>
          <c:showBubbleSize val="0"/>
        </c:dLbls>
        <c:marker val="1"/>
        <c:smooth val="0"/>
        <c:axId val="143064448"/>
        <c:axId val="143066240"/>
      </c:lineChart>
      <c:catAx>
        <c:axId val="143064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066240"/>
        <c:crosses val="autoZero"/>
        <c:auto val="1"/>
        <c:lblAlgn val="ctr"/>
        <c:lblOffset val="100"/>
        <c:noMultiLvlLbl val="0"/>
      </c:catAx>
      <c:valAx>
        <c:axId val="143066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mg/l</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064448"/>
        <c:crosses val="autoZero"/>
        <c:crossBetween val="between"/>
      </c:valAx>
      <c:spPr>
        <a:noFill/>
        <a:ln w="25400">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Ammonium</a:t>
            </a:r>
          </a:p>
        </c:rich>
      </c:tx>
      <c:layout/>
      <c:overlay val="0"/>
      <c:spPr>
        <a:noFill/>
        <a:ln>
          <a:noFill/>
        </a:ln>
        <a:effectLst/>
      </c:spPr>
    </c:title>
    <c:autoTitleDeleted val="0"/>
    <c:plotArea>
      <c:layout/>
      <c:barChart>
        <c:barDir val="col"/>
        <c:grouping val="clustered"/>
        <c:varyColors val="0"/>
        <c:ser>
          <c:idx val="0"/>
          <c:order val="0"/>
          <c:tx>
            <c:v>Simulated</c:v>
          </c:tx>
          <c:spPr>
            <a:solidFill>
              <a:schemeClr val="accent1"/>
            </a:solidFill>
            <a:ln>
              <a:noFill/>
            </a:ln>
            <a:effectLst/>
          </c:spPr>
          <c:invertIfNegative val="0"/>
          <c:cat>
            <c:strRef>
              <c:f>PB_comp!$B$6:$B$18</c:f>
              <c:strCache>
                <c:ptCount val="13"/>
                <c:pt idx="0">
                  <c:v>Period</c:v>
                </c:pt>
                <c:pt idx="1">
                  <c:v>Jan</c:v>
                </c:pt>
                <c:pt idx="2">
                  <c:v>Feb</c:v>
                </c:pt>
                <c:pt idx="3">
                  <c:v>Mar</c:v>
                </c:pt>
                <c:pt idx="4">
                  <c:v>Apr</c:v>
                </c:pt>
                <c:pt idx="5">
                  <c:v>May</c:v>
                </c:pt>
                <c:pt idx="6">
                  <c:v>Jun</c:v>
                </c:pt>
                <c:pt idx="7">
                  <c:v>Jul</c:v>
                </c:pt>
                <c:pt idx="8">
                  <c:v>Aug</c:v>
                </c:pt>
                <c:pt idx="9">
                  <c:v>Sep</c:v>
                </c:pt>
                <c:pt idx="10">
                  <c:v>Oct</c:v>
                </c:pt>
                <c:pt idx="11">
                  <c:v>Nov</c:v>
                </c:pt>
                <c:pt idx="12">
                  <c:v>Dec</c:v>
                </c:pt>
              </c:strCache>
            </c:strRef>
          </c:cat>
          <c:val>
            <c:numRef>
              <c:f>PB_comp!$E$6:$E$18</c:f>
              <c:numCache>
                <c:formatCode>General</c:formatCode>
                <c:ptCount val="13"/>
                <c:pt idx="0">
                  <c:v>0.75060000000000004</c:v>
                </c:pt>
                <c:pt idx="1">
                  <c:v>0.90139999999999998</c:v>
                </c:pt>
                <c:pt idx="2">
                  <c:v>0.90229999999999999</c:v>
                </c:pt>
                <c:pt idx="3">
                  <c:v>0.91479999999999995</c:v>
                </c:pt>
                <c:pt idx="4">
                  <c:v>0.84150000000000003</c:v>
                </c:pt>
                <c:pt idx="5">
                  <c:v>0.68530000000000002</c:v>
                </c:pt>
                <c:pt idx="6">
                  <c:v>0.61990000000000001</c:v>
                </c:pt>
                <c:pt idx="7">
                  <c:v>0.56320000000000003</c:v>
                </c:pt>
                <c:pt idx="8">
                  <c:v>0.54090000000000005</c:v>
                </c:pt>
                <c:pt idx="9">
                  <c:v>0.67</c:v>
                </c:pt>
                <c:pt idx="10">
                  <c:v>0.69799999999999995</c:v>
                </c:pt>
                <c:pt idx="11">
                  <c:v>0.74880000000000002</c:v>
                </c:pt>
                <c:pt idx="12">
                  <c:v>0.91349999999999998</c:v>
                </c:pt>
              </c:numCache>
            </c:numRef>
          </c:val>
        </c:ser>
        <c:ser>
          <c:idx val="1"/>
          <c:order val="1"/>
          <c:tx>
            <c:v>Scenario</c:v>
          </c:tx>
          <c:spPr>
            <a:solidFill>
              <a:schemeClr val="accent1">
                <a:lumMod val="40000"/>
                <a:lumOff val="60000"/>
              </a:schemeClr>
            </a:solidFill>
            <a:ln>
              <a:noFill/>
            </a:ln>
            <a:effectLst/>
          </c:spPr>
          <c:invertIfNegative val="0"/>
          <c:cat>
            <c:strRef>
              <c:f>PB_comp!$B$6:$B$18</c:f>
              <c:strCache>
                <c:ptCount val="13"/>
                <c:pt idx="0">
                  <c:v>Period</c:v>
                </c:pt>
                <c:pt idx="1">
                  <c:v>Jan</c:v>
                </c:pt>
                <c:pt idx="2">
                  <c:v>Feb</c:v>
                </c:pt>
                <c:pt idx="3">
                  <c:v>Mar</c:v>
                </c:pt>
                <c:pt idx="4">
                  <c:v>Apr</c:v>
                </c:pt>
                <c:pt idx="5">
                  <c:v>May</c:v>
                </c:pt>
                <c:pt idx="6">
                  <c:v>Jun</c:v>
                </c:pt>
                <c:pt idx="7">
                  <c:v>Jul</c:v>
                </c:pt>
                <c:pt idx="8">
                  <c:v>Aug</c:v>
                </c:pt>
                <c:pt idx="9">
                  <c:v>Sep</c:v>
                </c:pt>
                <c:pt idx="10">
                  <c:v>Oct</c:v>
                </c:pt>
                <c:pt idx="11">
                  <c:v>Nov</c:v>
                </c:pt>
                <c:pt idx="12">
                  <c:v>Dec</c:v>
                </c:pt>
              </c:strCache>
            </c:strRef>
          </c:cat>
          <c:val>
            <c:numRef>
              <c:f>PB_comp!$L$6:$L$18</c:f>
              <c:numCache>
                <c:formatCode>General</c:formatCode>
                <c:ptCount val="13"/>
                <c:pt idx="0">
                  <c:v>0.53869999999999996</c:v>
                </c:pt>
                <c:pt idx="1">
                  <c:v>0.62009999999999998</c:v>
                </c:pt>
                <c:pt idx="2">
                  <c:v>0.622</c:v>
                </c:pt>
                <c:pt idx="3">
                  <c:v>0.63980000000000004</c:v>
                </c:pt>
                <c:pt idx="4">
                  <c:v>0.60609999999999997</c:v>
                </c:pt>
                <c:pt idx="5">
                  <c:v>0.50409999999999999</c:v>
                </c:pt>
                <c:pt idx="6">
                  <c:v>0.46439999999999998</c:v>
                </c:pt>
                <c:pt idx="7">
                  <c:v>0.43090000000000001</c:v>
                </c:pt>
                <c:pt idx="8">
                  <c:v>0.41070000000000001</c:v>
                </c:pt>
                <c:pt idx="9">
                  <c:v>0.49980000000000002</c:v>
                </c:pt>
                <c:pt idx="10">
                  <c:v>0.50819999999999999</c:v>
                </c:pt>
                <c:pt idx="11">
                  <c:v>0.52669999999999995</c:v>
                </c:pt>
                <c:pt idx="12">
                  <c:v>0.62760000000000005</c:v>
                </c:pt>
              </c:numCache>
            </c:numRef>
          </c:val>
        </c:ser>
        <c:dLbls>
          <c:showLegendKey val="0"/>
          <c:showVal val="0"/>
          <c:showCatName val="0"/>
          <c:showSerName val="0"/>
          <c:showPercent val="0"/>
          <c:showBubbleSize val="0"/>
        </c:dLbls>
        <c:gapWidth val="219"/>
        <c:overlap val="-27"/>
        <c:axId val="143081472"/>
        <c:axId val="143083008"/>
      </c:barChart>
      <c:lineChart>
        <c:grouping val="standard"/>
        <c:varyColors val="0"/>
        <c:ser>
          <c:idx val="2"/>
          <c:order val="2"/>
          <c:tx>
            <c:strRef>
              <c:f>PB_comp!$S$5</c:f>
              <c:strCache>
                <c:ptCount val="1"/>
                <c:pt idx="0">
                  <c:v>Good</c:v>
                </c:pt>
              </c:strCache>
            </c:strRef>
          </c:tx>
          <c:spPr>
            <a:ln w="28575" cap="rnd">
              <a:solidFill>
                <a:schemeClr val="accent6"/>
              </a:solidFill>
              <a:round/>
            </a:ln>
            <a:effectLst/>
          </c:spPr>
          <c:marker>
            <c:symbol val="none"/>
          </c:marker>
          <c:cat>
            <c:strRef>
              <c:f>PB_comp!$B$6:$B$18</c:f>
              <c:strCache>
                <c:ptCount val="13"/>
                <c:pt idx="0">
                  <c:v>Period</c:v>
                </c:pt>
                <c:pt idx="1">
                  <c:v>Jan</c:v>
                </c:pt>
                <c:pt idx="2">
                  <c:v>Feb</c:v>
                </c:pt>
                <c:pt idx="3">
                  <c:v>Mar</c:v>
                </c:pt>
                <c:pt idx="4">
                  <c:v>Apr</c:v>
                </c:pt>
                <c:pt idx="5">
                  <c:v>May</c:v>
                </c:pt>
                <c:pt idx="6">
                  <c:v>Jun</c:v>
                </c:pt>
                <c:pt idx="7">
                  <c:v>Jul</c:v>
                </c:pt>
                <c:pt idx="8">
                  <c:v>Aug</c:v>
                </c:pt>
                <c:pt idx="9">
                  <c:v>Sep</c:v>
                </c:pt>
                <c:pt idx="10">
                  <c:v>Oct</c:v>
                </c:pt>
                <c:pt idx="11">
                  <c:v>Nov</c:v>
                </c:pt>
                <c:pt idx="12">
                  <c:v>Dec</c:v>
                </c:pt>
              </c:strCache>
            </c:strRef>
          </c:cat>
          <c:val>
            <c:numRef>
              <c:f>PB_comp!$S$6:$S$18</c:f>
              <c:numCache>
                <c:formatCode>General</c:formatCode>
                <c:ptCount val="13"/>
                <c:pt idx="0">
                  <c:v>0.6</c:v>
                </c:pt>
                <c:pt idx="1">
                  <c:v>0.6</c:v>
                </c:pt>
                <c:pt idx="2">
                  <c:v>0.6</c:v>
                </c:pt>
                <c:pt idx="3">
                  <c:v>0.6</c:v>
                </c:pt>
                <c:pt idx="4">
                  <c:v>0.6</c:v>
                </c:pt>
                <c:pt idx="5">
                  <c:v>0.6</c:v>
                </c:pt>
                <c:pt idx="6">
                  <c:v>0.6</c:v>
                </c:pt>
                <c:pt idx="7">
                  <c:v>0.6</c:v>
                </c:pt>
                <c:pt idx="8">
                  <c:v>0.6</c:v>
                </c:pt>
                <c:pt idx="9">
                  <c:v>0.6</c:v>
                </c:pt>
                <c:pt idx="10">
                  <c:v>0.6</c:v>
                </c:pt>
                <c:pt idx="11">
                  <c:v>0.6</c:v>
                </c:pt>
                <c:pt idx="12">
                  <c:v>0.6</c:v>
                </c:pt>
              </c:numCache>
            </c:numRef>
          </c:val>
          <c:smooth val="0"/>
        </c:ser>
        <c:dLbls>
          <c:showLegendKey val="0"/>
          <c:showVal val="0"/>
          <c:showCatName val="0"/>
          <c:showSerName val="0"/>
          <c:showPercent val="0"/>
          <c:showBubbleSize val="0"/>
        </c:dLbls>
        <c:marker val="1"/>
        <c:smooth val="0"/>
        <c:axId val="143081472"/>
        <c:axId val="143083008"/>
      </c:lineChart>
      <c:catAx>
        <c:axId val="14308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083008"/>
        <c:crosses val="autoZero"/>
        <c:auto val="1"/>
        <c:lblAlgn val="ctr"/>
        <c:lblOffset val="100"/>
        <c:noMultiLvlLbl val="0"/>
      </c:catAx>
      <c:valAx>
        <c:axId val="14308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mg/l</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0814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Ammonium</a:t>
            </a:r>
          </a:p>
        </c:rich>
      </c:tx>
      <c:layout/>
      <c:overlay val="0"/>
      <c:spPr>
        <a:noFill/>
        <a:ln>
          <a:noFill/>
        </a:ln>
        <a:effectLst/>
      </c:spPr>
    </c:title>
    <c:autoTitleDeleted val="0"/>
    <c:plotArea>
      <c:layout/>
      <c:barChart>
        <c:barDir val="col"/>
        <c:grouping val="clustered"/>
        <c:varyColors val="0"/>
        <c:ser>
          <c:idx val="0"/>
          <c:order val="0"/>
          <c:tx>
            <c:v>Simulated</c:v>
          </c:tx>
          <c:spPr>
            <a:solidFill>
              <a:schemeClr val="accent1"/>
            </a:solidFill>
            <a:ln>
              <a:noFill/>
            </a:ln>
            <a:effectLst/>
          </c:spPr>
          <c:invertIfNegative val="0"/>
          <c:cat>
            <c:strRef>
              <c:f>'CB comp'!$B$6:$B$18</c:f>
              <c:strCache>
                <c:ptCount val="13"/>
                <c:pt idx="0">
                  <c:v>Period</c:v>
                </c:pt>
                <c:pt idx="1">
                  <c:v>Jan</c:v>
                </c:pt>
                <c:pt idx="2">
                  <c:v>Feb</c:v>
                </c:pt>
                <c:pt idx="3">
                  <c:v>Mar</c:v>
                </c:pt>
                <c:pt idx="4">
                  <c:v>Apr</c:v>
                </c:pt>
                <c:pt idx="5">
                  <c:v>May</c:v>
                </c:pt>
                <c:pt idx="6">
                  <c:v>Jun</c:v>
                </c:pt>
                <c:pt idx="7">
                  <c:v>Jul</c:v>
                </c:pt>
                <c:pt idx="8">
                  <c:v>Aug</c:v>
                </c:pt>
                <c:pt idx="9">
                  <c:v>Sep</c:v>
                </c:pt>
                <c:pt idx="10">
                  <c:v>Oct</c:v>
                </c:pt>
                <c:pt idx="11">
                  <c:v>Nov</c:v>
                </c:pt>
                <c:pt idx="12">
                  <c:v>Dec</c:v>
                </c:pt>
              </c:strCache>
            </c:strRef>
          </c:cat>
          <c:val>
            <c:numRef>
              <c:f>'CB comp'!$E$6:$E$18</c:f>
              <c:numCache>
                <c:formatCode>General</c:formatCode>
                <c:ptCount val="13"/>
                <c:pt idx="0">
                  <c:v>0.73429999999999995</c:v>
                </c:pt>
                <c:pt idx="1">
                  <c:v>0.82340000000000002</c:v>
                </c:pt>
                <c:pt idx="2">
                  <c:v>0.8387</c:v>
                </c:pt>
                <c:pt idx="3">
                  <c:v>0.85629999999999995</c:v>
                </c:pt>
                <c:pt idx="4">
                  <c:v>0.80620000000000003</c:v>
                </c:pt>
                <c:pt idx="5">
                  <c:v>0.66949999999999998</c:v>
                </c:pt>
                <c:pt idx="6">
                  <c:v>0.62960000000000005</c:v>
                </c:pt>
                <c:pt idx="7">
                  <c:v>0.58179999999999998</c:v>
                </c:pt>
                <c:pt idx="8">
                  <c:v>0.56699999999999995</c:v>
                </c:pt>
                <c:pt idx="9">
                  <c:v>0.70630000000000004</c:v>
                </c:pt>
                <c:pt idx="10">
                  <c:v>0.71870000000000001</c:v>
                </c:pt>
                <c:pt idx="11">
                  <c:v>0.74709999999999999</c:v>
                </c:pt>
                <c:pt idx="12">
                  <c:v>0.86339999999999995</c:v>
                </c:pt>
              </c:numCache>
            </c:numRef>
          </c:val>
        </c:ser>
        <c:ser>
          <c:idx val="1"/>
          <c:order val="1"/>
          <c:tx>
            <c:v>Scenario</c:v>
          </c:tx>
          <c:spPr>
            <a:solidFill>
              <a:schemeClr val="accent1">
                <a:lumMod val="40000"/>
                <a:lumOff val="60000"/>
              </a:schemeClr>
            </a:solidFill>
            <a:ln>
              <a:noFill/>
            </a:ln>
            <a:effectLst/>
          </c:spPr>
          <c:invertIfNegative val="0"/>
          <c:cat>
            <c:strRef>
              <c:f>'CB comp'!$B$6:$B$18</c:f>
              <c:strCache>
                <c:ptCount val="13"/>
                <c:pt idx="0">
                  <c:v>Period</c:v>
                </c:pt>
                <c:pt idx="1">
                  <c:v>Jan</c:v>
                </c:pt>
                <c:pt idx="2">
                  <c:v>Feb</c:v>
                </c:pt>
                <c:pt idx="3">
                  <c:v>Mar</c:v>
                </c:pt>
                <c:pt idx="4">
                  <c:v>Apr</c:v>
                </c:pt>
                <c:pt idx="5">
                  <c:v>May</c:v>
                </c:pt>
                <c:pt idx="6">
                  <c:v>Jun</c:v>
                </c:pt>
                <c:pt idx="7">
                  <c:v>Jul</c:v>
                </c:pt>
                <c:pt idx="8">
                  <c:v>Aug</c:v>
                </c:pt>
                <c:pt idx="9">
                  <c:v>Sep</c:v>
                </c:pt>
                <c:pt idx="10">
                  <c:v>Oct</c:v>
                </c:pt>
                <c:pt idx="11">
                  <c:v>Nov</c:v>
                </c:pt>
                <c:pt idx="12">
                  <c:v>Dec</c:v>
                </c:pt>
              </c:strCache>
            </c:strRef>
          </c:cat>
          <c:val>
            <c:numRef>
              <c:f>'CB comp'!$L$6:$L$18</c:f>
              <c:numCache>
                <c:formatCode>General</c:formatCode>
                <c:ptCount val="13"/>
                <c:pt idx="0">
                  <c:v>0.313</c:v>
                </c:pt>
                <c:pt idx="1">
                  <c:v>0.34110000000000001</c:v>
                </c:pt>
                <c:pt idx="2">
                  <c:v>0.32890000000000003</c:v>
                </c:pt>
                <c:pt idx="3">
                  <c:v>0.31809999999999999</c:v>
                </c:pt>
                <c:pt idx="4">
                  <c:v>0.314</c:v>
                </c:pt>
                <c:pt idx="5">
                  <c:v>0.29110000000000003</c:v>
                </c:pt>
                <c:pt idx="6">
                  <c:v>0.27960000000000002</c:v>
                </c:pt>
                <c:pt idx="7">
                  <c:v>0.27339999999999998</c:v>
                </c:pt>
                <c:pt idx="8">
                  <c:v>0.27689999999999998</c:v>
                </c:pt>
                <c:pt idx="9">
                  <c:v>0.31609999999999999</c:v>
                </c:pt>
                <c:pt idx="10">
                  <c:v>0.33200000000000002</c:v>
                </c:pt>
                <c:pt idx="11">
                  <c:v>0.33400000000000002</c:v>
                </c:pt>
                <c:pt idx="12">
                  <c:v>0.34989999999999999</c:v>
                </c:pt>
              </c:numCache>
            </c:numRef>
          </c:val>
        </c:ser>
        <c:dLbls>
          <c:showLegendKey val="0"/>
          <c:showVal val="0"/>
          <c:showCatName val="0"/>
          <c:showSerName val="0"/>
          <c:showPercent val="0"/>
          <c:showBubbleSize val="0"/>
        </c:dLbls>
        <c:gapWidth val="219"/>
        <c:overlap val="-27"/>
        <c:axId val="143110528"/>
        <c:axId val="143112064"/>
      </c:barChart>
      <c:lineChart>
        <c:grouping val="standard"/>
        <c:varyColors val="0"/>
        <c:ser>
          <c:idx val="2"/>
          <c:order val="2"/>
          <c:tx>
            <c:strRef>
              <c:f>'CB comp'!$S$5</c:f>
              <c:strCache>
                <c:ptCount val="1"/>
                <c:pt idx="0">
                  <c:v>Good </c:v>
                </c:pt>
              </c:strCache>
            </c:strRef>
          </c:tx>
          <c:spPr>
            <a:ln w="28575" cap="rnd">
              <a:solidFill>
                <a:schemeClr val="accent6"/>
              </a:solidFill>
              <a:round/>
            </a:ln>
            <a:effectLst/>
          </c:spPr>
          <c:marker>
            <c:symbol val="none"/>
          </c:marker>
          <c:val>
            <c:numRef>
              <c:f>'CB comp'!$S$6:$S$18</c:f>
              <c:numCache>
                <c:formatCode>General</c:formatCode>
                <c:ptCount val="13"/>
                <c:pt idx="0">
                  <c:v>0.6</c:v>
                </c:pt>
                <c:pt idx="1">
                  <c:v>0.6</c:v>
                </c:pt>
                <c:pt idx="2">
                  <c:v>0.6</c:v>
                </c:pt>
                <c:pt idx="3">
                  <c:v>0.6</c:v>
                </c:pt>
                <c:pt idx="4">
                  <c:v>0.6</c:v>
                </c:pt>
                <c:pt idx="5">
                  <c:v>0.6</c:v>
                </c:pt>
                <c:pt idx="6">
                  <c:v>0.6</c:v>
                </c:pt>
                <c:pt idx="7">
                  <c:v>0.6</c:v>
                </c:pt>
                <c:pt idx="8">
                  <c:v>0.6</c:v>
                </c:pt>
                <c:pt idx="9">
                  <c:v>0.6</c:v>
                </c:pt>
                <c:pt idx="10">
                  <c:v>0.6</c:v>
                </c:pt>
                <c:pt idx="11">
                  <c:v>0.6</c:v>
                </c:pt>
                <c:pt idx="12">
                  <c:v>0.6</c:v>
                </c:pt>
              </c:numCache>
            </c:numRef>
          </c:val>
          <c:smooth val="0"/>
        </c:ser>
        <c:dLbls>
          <c:showLegendKey val="0"/>
          <c:showVal val="0"/>
          <c:showCatName val="0"/>
          <c:showSerName val="0"/>
          <c:showPercent val="0"/>
          <c:showBubbleSize val="0"/>
        </c:dLbls>
        <c:marker val="1"/>
        <c:smooth val="0"/>
        <c:axId val="143110528"/>
        <c:axId val="143112064"/>
      </c:lineChart>
      <c:catAx>
        <c:axId val="14311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112064"/>
        <c:crosses val="autoZero"/>
        <c:auto val="1"/>
        <c:lblAlgn val="ctr"/>
        <c:lblOffset val="100"/>
        <c:noMultiLvlLbl val="0"/>
      </c:catAx>
      <c:valAx>
        <c:axId val="14311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mg/l</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311052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A9600A-3A57-4C08-A7F3-B7F9958FB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6529</Words>
  <Characters>37217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Rosie Nelson</dc:creator>
  <cp:lastModifiedBy>Owen Alvares</cp:lastModifiedBy>
  <cp:revision>3</cp:revision>
  <dcterms:created xsi:type="dcterms:W3CDTF">2018-10-24T09:48:00Z</dcterms:created>
  <dcterms:modified xsi:type="dcterms:W3CDTF">2018-10-24T09:49:00Z</dcterms:modified>
</cp:coreProperties>
</file>